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56FE6" w14:textId="67A6414F" w:rsidR="00434251" w:rsidRPr="002A21ED" w:rsidRDefault="00434251" w:rsidP="00434251">
      <w:pPr>
        <w:jc w:val="center"/>
      </w:pPr>
    </w:p>
    <w:p w14:paraId="11127E55" w14:textId="77777777" w:rsidR="00434251" w:rsidRPr="002A21ED" w:rsidRDefault="00434251" w:rsidP="00434251">
      <w:pPr>
        <w:jc w:val="center"/>
      </w:pPr>
      <w:r w:rsidRPr="002A21ED">
        <w:t>ESTADO DE GOIÁS</w:t>
      </w:r>
    </w:p>
    <w:p w14:paraId="0D854A10" w14:textId="77777777" w:rsidR="00434251" w:rsidRDefault="00434251" w:rsidP="00434251">
      <w:pPr>
        <w:jc w:val="center"/>
      </w:pPr>
      <w:r w:rsidRPr="002A21ED">
        <w:t>SECRETARIA DE ESTADO DE MEIO AMBIENTE E DESENVOLVIMENTO SUSTENTÁVEL CONSELHO ESTADUAL DOS RECURSOS HÍDRICOS</w:t>
      </w:r>
    </w:p>
    <w:p w14:paraId="4D7710B8" w14:textId="77777777" w:rsidR="00434251" w:rsidRDefault="00434251" w:rsidP="00434251">
      <w:pPr>
        <w:jc w:val="center"/>
      </w:pPr>
    </w:p>
    <w:p w14:paraId="02FC125E" w14:textId="77777777" w:rsidR="00ED2E40" w:rsidRDefault="00434251" w:rsidP="00ED2E40">
      <w:pPr>
        <w:jc w:val="center"/>
      </w:pPr>
      <w:r>
        <w:t xml:space="preserve">Ata da </w:t>
      </w:r>
      <w:r>
        <w:t>32</w:t>
      </w:r>
      <w:r>
        <w:t xml:space="preserve">ª Reunião </w:t>
      </w:r>
      <w:r>
        <w:t>Ordinária</w:t>
      </w:r>
      <w:r>
        <w:t xml:space="preserve"> do Conselho</w:t>
      </w:r>
      <w:r>
        <w:t xml:space="preserve"> Estadual</w:t>
      </w:r>
      <w:r>
        <w:t xml:space="preserve"> </w:t>
      </w:r>
      <w:r>
        <w:t>dos</w:t>
      </w:r>
      <w:r>
        <w:t xml:space="preserve"> Recursos Hídricos - CERHI</w:t>
      </w:r>
    </w:p>
    <w:p w14:paraId="30B1FD38" w14:textId="77777777" w:rsidR="00ED2E40" w:rsidRDefault="00ED2E40" w:rsidP="00ED2E40">
      <w:pPr>
        <w:jc w:val="center"/>
      </w:pPr>
    </w:p>
    <w:p w14:paraId="00B69C09" w14:textId="0599828E" w:rsidR="00416B9A" w:rsidRDefault="00BD1800" w:rsidP="00ED2E40">
      <w:pPr>
        <w:jc w:val="both"/>
      </w:pPr>
      <w:r w:rsidRPr="00BD1800">
        <w:t xml:space="preserve">Aos vinte e oito dias do mês de abril de dois mil e vinte e seis, às quatorze horas, realizou-se a 32ª Reunião Ordinária do </w:t>
      </w:r>
      <w:r w:rsidRPr="00BD1800">
        <w:t>Conselho de Recursos Hídricos – CERHI, de forma presencial, na sede da Secretaria de Estado de Meio Ambiente e Desenvolvimento Sustentável – SEMAD, localizada na Avenida José Leandro da Cruz, nº 1578, Parque Amazônia, Goiânia/GO, para tratar da seguinte pauta:</w:t>
      </w:r>
      <w:r w:rsidRPr="00BD1800">
        <w:t xml:space="preserve"> </w:t>
      </w:r>
      <w:r w:rsidRPr="00BD1800">
        <w:rPr>
          <w:b/>
          <w:bCs/>
        </w:rPr>
        <w:t>Item 1</w:t>
      </w:r>
      <w:r w:rsidRPr="00BD1800">
        <w:t xml:space="preserve"> – Ata para deliberação</w:t>
      </w:r>
      <w:r w:rsidRPr="00BD1800">
        <w:t xml:space="preserve">; </w:t>
      </w:r>
      <w:r w:rsidRPr="00BD1800">
        <w:rPr>
          <w:b/>
          <w:bCs/>
        </w:rPr>
        <w:t>Item 2</w:t>
      </w:r>
      <w:r w:rsidRPr="00BD1800">
        <w:t xml:space="preserve"> </w:t>
      </w:r>
      <w:r w:rsidRPr="00BD1800">
        <w:t>–</w:t>
      </w:r>
      <w:r w:rsidRPr="00BD1800">
        <w:t xml:space="preserve"> apresentação </w:t>
      </w:r>
      <w:r w:rsidRPr="00BD1800">
        <w:t xml:space="preserve">e deliberação dos formulários do </w:t>
      </w:r>
      <w:proofErr w:type="spellStart"/>
      <w:r w:rsidRPr="00BD1800">
        <w:t>Progestão</w:t>
      </w:r>
      <w:proofErr w:type="spellEnd"/>
      <w:r w:rsidRPr="00BD1800">
        <w:t xml:space="preserve">; </w:t>
      </w:r>
      <w:r w:rsidRPr="00BD1800">
        <w:rPr>
          <w:b/>
          <w:bCs/>
        </w:rPr>
        <w:t>Item 3</w:t>
      </w:r>
      <w:r w:rsidRPr="00BD1800">
        <w:t xml:space="preserve"> — </w:t>
      </w:r>
      <w:r w:rsidRPr="00BD1800">
        <w:t>Discussão e Deliberação sobre a prorrogação, por um ano,</w:t>
      </w:r>
      <w:r w:rsidRPr="00BD1800">
        <w:t xml:space="preserve"> </w:t>
      </w:r>
      <w:r w:rsidRPr="00BD1800">
        <w:t>do mandato dos membros do Comitê da Bacia Hidrográfica dos Afluentes</w:t>
      </w:r>
      <w:r w:rsidRPr="00BD1800">
        <w:t xml:space="preserve"> </w:t>
      </w:r>
      <w:r w:rsidRPr="00BD1800">
        <w:t>Goianos do Rio Araguaia (CBH AGORA)</w:t>
      </w:r>
      <w:r w:rsidRPr="00BD1800">
        <w:t xml:space="preserve">; </w:t>
      </w:r>
      <w:r w:rsidRPr="00BD1800">
        <w:rPr>
          <w:b/>
          <w:bCs/>
        </w:rPr>
        <w:t>Item 4</w:t>
      </w:r>
      <w:r w:rsidRPr="00BD1800">
        <w:t xml:space="preserve"> — </w:t>
      </w:r>
      <w:r w:rsidRPr="00BD1800">
        <w:t>Discussão e deliberação sobre proposta de alteração do Art.</w:t>
      </w:r>
      <w:r w:rsidRPr="00BD1800">
        <w:t xml:space="preserve"> </w:t>
      </w:r>
      <w:r w:rsidRPr="00BD1800">
        <w:t xml:space="preserve">4º, inciso II da Resolução </w:t>
      </w:r>
      <w:proofErr w:type="spellStart"/>
      <w:r w:rsidRPr="00BD1800">
        <w:t>CERHi</w:t>
      </w:r>
      <w:proofErr w:type="spellEnd"/>
      <w:r w:rsidRPr="00BD1800">
        <w:t xml:space="preserve"> nº 66, de 26 de janeiro de 2024</w:t>
      </w:r>
      <w:r w:rsidRPr="00BD1800">
        <w:t xml:space="preserve">; </w:t>
      </w:r>
      <w:r w:rsidRPr="00BD1800">
        <w:rPr>
          <w:b/>
          <w:bCs/>
        </w:rPr>
        <w:t>Item 5</w:t>
      </w:r>
      <w:r w:rsidRPr="00BD1800">
        <w:t xml:space="preserve"> — </w:t>
      </w:r>
      <w:r w:rsidRPr="00BD1800">
        <w:t>Discussão e deliberação sobre proposta de dispensa de</w:t>
      </w:r>
      <w:r w:rsidRPr="00BD1800">
        <w:t xml:space="preserve"> </w:t>
      </w:r>
      <w:r w:rsidRPr="00BD1800">
        <w:t>outorga para usos emergenciais, com posterior</w:t>
      </w:r>
      <w:r w:rsidRPr="00BD1800">
        <w:t xml:space="preserve"> </w:t>
      </w:r>
      <w:r w:rsidRPr="00BD1800">
        <w:t>alteração na Resolução</w:t>
      </w:r>
      <w:r w:rsidRPr="00BD1800">
        <w:t xml:space="preserve"> </w:t>
      </w:r>
      <w:proofErr w:type="spellStart"/>
      <w:r w:rsidRPr="00BD1800">
        <w:t>CERHi</w:t>
      </w:r>
      <w:proofErr w:type="spellEnd"/>
      <w:r w:rsidRPr="00BD1800">
        <w:t xml:space="preserve"> nº 66, de 26 de janeiro de 2024</w:t>
      </w:r>
      <w:r>
        <w:t xml:space="preserve">; </w:t>
      </w:r>
      <w:r w:rsidRPr="00BD1800">
        <w:rPr>
          <w:b/>
          <w:bCs/>
        </w:rPr>
        <w:t>Item 6</w:t>
      </w:r>
      <w:r w:rsidRPr="00BD1800">
        <w:t xml:space="preserve"> — </w:t>
      </w:r>
      <w:r w:rsidRPr="00BD1800">
        <w:t>Apresentação e deliberação da solicitação de prorrogação</w:t>
      </w:r>
      <w:r w:rsidRPr="00BD1800">
        <w:t xml:space="preserve"> </w:t>
      </w:r>
      <w:r w:rsidRPr="00BD1800">
        <w:t>da Declaração de Reserva de Disponibilidade Hídrica do Empreendimento</w:t>
      </w:r>
      <w:r w:rsidRPr="00BD1800">
        <w:t xml:space="preserve"> </w:t>
      </w:r>
      <w:r w:rsidRPr="00BD1800">
        <w:t>Hidrelétrico PCH Jacaré do Caiapó de titularidade da Jacaré Energética S.A.</w:t>
      </w:r>
      <w:r>
        <w:t xml:space="preserve"> </w:t>
      </w:r>
      <w:r w:rsidR="00416B9A">
        <w:t>Compareceram à reunião os seguintes membros do Conselho:</w:t>
      </w:r>
      <w:r w:rsidR="00ED2E40">
        <w:t xml:space="preserve"> </w:t>
      </w:r>
      <w:r w:rsidR="00ED2E40">
        <w:t>José Bento da Rocha – titular, representante da Secretaria de Estado de Meio Ambiente e Desenvolvimento Sustentável – SEMAD;</w:t>
      </w:r>
      <w:r w:rsidR="00ED2E40" w:rsidRPr="00ED2E40">
        <w:t xml:space="preserve"> </w:t>
      </w:r>
      <w:r w:rsidR="00ED2E40">
        <w:t>Claudio Rodrigues da Silva – titular</w:t>
      </w:r>
      <w:r w:rsidR="00ED2E40">
        <w:t xml:space="preserve">, </w:t>
      </w:r>
      <w:r w:rsidR="00ED2E40">
        <w:t>representante da Agência Goiana de Regulação, Controle e Fiscalização de Serviços Públicos – AGR;</w:t>
      </w:r>
      <w:r w:rsidR="00ED2E40">
        <w:t xml:space="preserve"> Camila Dantas Lucio </w:t>
      </w:r>
      <w:proofErr w:type="spellStart"/>
      <w:r w:rsidR="00ED2E40">
        <w:t>Roncato</w:t>
      </w:r>
      <w:proofErr w:type="spellEnd"/>
      <w:r w:rsidR="00ED2E40">
        <w:t xml:space="preserve"> – titular e </w:t>
      </w:r>
      <w:r w:rsidR="00ED2E40">
        <w:t>Mário César Guerino – suplente, representante</w:t>
      </w:r>
      <w:r w:rsidR="00ED2E40">
        <w:t>s</w:t>
      </w:r>
      <w:r w:rsidR="00ED2E40">
        <w:t xml:space="preserve"> da Empresa de Saneamento de Goiás S/A – SANEAGO;</w:t>
      </w:r>
      <w:r w:rsidR="00ED2E40">
        <w:t xml:space="preserve"> Antônio Martins Borges Neto – titular, representante da CELG Geração e Transmissão S.A; </w:t>
      </w:r>
      <w:r w:rsidR="00ED2E40">
        <w:t>Aurélio Alves Miranda – titular, representante da Associação dos Irrigantes do Estado de Goiás – IRRIGO;</w:t>
      </w:r>
      <w:r w:rsidR="00ED2E40">
        <w:t xml:space="preserve"> </w:t>
      </w:r>
      <w:r w:rsidR="00ED2E40">
        <w:t>Thiago Castro de Oliveira – suplente, representante da Federação da Agricultura e Pecuária de Goiás – FAEG</w:t>
      </w:r>
      <w:r w:rsidR="00ED2E40">
        <w:t xml:space="preserve">; </w:t>
      </w:r>
      <w:r w:rsidR="00ED2E40">
        <w:t>Elaine Lopes Noronha – suplente, representante da Federação das Indústrias do Estado de Goiás – FIEG;</w:t>
      </w:r>
      <w:r w:rsidR="00ED2E40">
        <w:t xml:space="preserve"> Wilson de Azevedo Filho – suplente, representante da </w:t>
      </w:r>
      <w:r w:rsidR="00ED2E40">
        <w:t>Associação das Empresas Mineradoras de Águas Termais do Estado de Goiás – AMAT/GO;</w:t>
      </w:r>
      <w:r w:rsidR="00ED2E40">
        <w:t xml:space="preserve"> </w:t>
      </w:r>
      <w:r w:rsidR="007F6045">
        <w:t xml:space="preserve">Guilherme </w:t>
      </w:r>
      <w:proofErr w:type="spellStart"/>
      <w:r w:rsidR="007F6045">
        <w:t>Dall’Agnol</w:t>
      </w:r>
      <w:proofErr w:type="spellEnd"/>
      <w:r w:rsidR="007F6045">
        <w:t xml:space="preserve"> – titular, representante do Conselho Regional de Engenharia, Arquitetura e Agronomia de Goiás – CREA;</w:t>
      </w:r>
      <w:r w:rsidR="007F6045">
        <w:t xml:space="preserve"> </w:t>
      </w:r>
      <w:proofErr w:type="spellStart"/>
      <w:r w:rsidR="007F6045">
        <w:t>Raviel</w:t>
      </w:r>
      <w:proofErr w:type="spellEnd"/>
      <w:r w:rsidR="007F6045">
        <w:t xml:space="preserve"> Eurico Basso – suplente, representante da </w:t>
      </w:r>
      <w:r w:rsidR="00D81F53">
        <w:t>Universidade</w:t>
      </w:r>
      <w:r w:rsidR="007F6045">
        <w:t xml:space="preserve"> Federal de Goiás </w:t>
      </w:r>
      <w:r w:rsidR="00D81F53">
        <w:t xml:space="preserve">– UFG; </w:t>
      </w:r>
      <w:r w:rsidR="00D81F53">
        <w:t xml:space="preserve">Flávio Ribeiro Filemon – titular, representante da Sociedade Civil Organizada com a Fundação César </w:t>
      </w:r>
      <w:proofErr w:type="spellStart"/>
      <w:r w:rsidR="00D81F53">
        <w:t>Baiocchi</w:t>
      </w:r>
      <w:proofErr w:type="spellEnd"/>
      <w:r w:rsidR="00D81F53">
        <w:t>;</w:t>
      </w:r>
      <w:r w:rsidR="00D81F53" w:rsidRPr="00D81F53">
        <w:t xml:space="preserve"> </w:t>
      </w:r>
      <w:r w:rsidR="00D81F53">
        <w:t xml:space="preserve">Marcos Antônio </w:t>
      </w:r>
      <w:proofErr w:type="spellStart"/>
      <w:r w:rsidR="00D81F53">
        <w:t>Correntino</w:t>
      </w:r>
      <w:proofErr w:type="spellEnd"/>
      <w:r w:rsidR="00D81F53">
        <w:t xml:space="preserve"> da Cunha – titular</w:t>
      </w:r>
      <w:r w:rsidR="00D81F53">
        <w:t xml:space="preserve"> e José Vicente Granato de Araújo – suplente,</w:t>
      </w:r>
      <w:r w:rsidR="00D81F53">
        <w:t xml:space="preserve"> representante</w:t>
      </w:r>
      <w:r w:rsidR="00D81F53">
        <w:t>s</w:t>
      </w:r>
      <w:r w:rsidR="00D81F53">
        <w:t xml:space="preserve"> da Associação Brasileira de Recursos Hídricos – ABRH</w:t>
      </w:r>
      <w:r w:rsidR="00D81F53">
        <w:t xml:space="preserve">. </w:t>
      </w:r>
      <w:r w:rsidR="00D81F53">
        <w:t>Compareceram como convidados:</w:t>
      </w:r>
      <w:r w:rsidR="00D81F53">
        <w:t xml:space="preserve"> Sevan Naves/ PCH Jacaré; Silvia Cristina</w:t>
      </w:r>
      <w:r w:rsidR="00D81F53">
        <w:t>/ PCH Jacaré</w:t>
      </w:r>
      <w:r w:rsidR="00D81F53">
        <w:t xml:space="preserve">; </w:t>
      </w:r>
      <w:proofErr w:type="spellStart"/>
      <w:r w:rsidR="00D81F53">
        <w:t>Silmar</w:t>
      </w:r>
      <w:proofErr w:type="spellEnd"/>
      <w:r w:rsidR="00D81F53">
        <w:t xml:space="preserve"> Gomes Silveira</w:t>
      </w:r>
      <w:r w:rsidR="00D81F53">
        <w:t>/ PCH Jacaré</w:t>
      </w:r>
      <w:r w:rsidR="00D81F53">
        <w:t xml:space="preserve">; Leônidas S. Cavalcante/SANEAGO; </w:t>
      </w:r>
      <w:r w:rsidR="00F24B2D">
        <w:t xml:space="preserve">Guilherme Matheus Coelho de Lemos/SEMAD; André Luiz de Campos/SEMAD; Yara Vanessa </w:t>
      </w:r>
      <w:proofErr w:type="spellStart"/>
      <w:r w:rsidR="00F24B2D">
        <w:t>Portuguez</w:t>
      </w:r>
      <w:proofErr w:type="spellEnd"/>
      <w:r w:rsidR="00F24B2D">
        <w:t xml:space="preserve"> Fonseca/SANEAGO; Marco </w:t>
      </w:r>
      <w:r w:rsidR="00F24B2D">
        <w:lastRenderedPageBreak/>
        <w:t xml:space="preserve">Antônio Azevedo Brito/SEMAD; Thiago L. Segatti/SEMAD; Ana Carolina Valadão/ </w:t>
      </w:r>
      <w:r w:rsidR="00F24B2D">
        <w:t>PCH Jacaré</w:t>
      </w:r>
      <w:r w:rsidR="00F24B2D">
        <w:t xml:space="preserve">; Natália Cristina Lino/SEMAD; Rodrigo </w:t>
      </w:r>
      <w:proofErr w:type="spellStart"/>
      <w:r w:rsidR="00F24B2D">
        <w:t>Zanelati</w:t>
      </w:r>
      <w:proofErr w:type="spellEnd"/>
      <w:r w:rsidR="00F24B2D">
        <w:t xml:space="preserve"> Ribeiro / SEMAD; João Ricardo </w:t>
      </w:r>
      <w:proofErr w:type="spellStart"/>
      <w:r w:rsidR="00F24B2D">
        <w:t>Raiser</w:t>
      </w:r>
      <w:proofErr w:type="spellEnd"/>
      <w:r w:rsidR="00F24B2D">
        <w:t xml:space="preserve">/SEMAD; Cynthia Morales da Costa/ PCH Jacaré; </w:t>
      </w:r>
      <w:proofErr w:type="spellStart"/>
      <w:r w:rsidR="00F24B2D">
        <w:t>Kayristton</w:t>
      </w:r>
      <w:proofErr w:type="spellEnd"/>
      <w:r w:rsidR="00F24B2D">
        <w:t xml:space="preserve"> Daniel/ PGRH SANEAGO; Alan M. Tonin/SEMAD; Fabrício de Campos/SEMAD; Rafaela Lopes Vieira de Almeida/SEMAD, Lilian B. Krause/SEMAD. </w:t>
      </w:r>
    </w:p>
    <w:p w14:paraId="39BD0D0C" w14:textId="77777777" w:rsidR="001719A3" w:rsidRDefault="001719A3" w:rsidP="00ED2E40">
      <w:pPr>
        <w:jc w:val="both"/>
      </w:pPr>
    </w:p>
    <w:p w14:paraId="409528B1" w14:textId="6291588A" w:rsidR="00CA0183" w:rsidRPr="00CA0183" w:rsidRDefault="001719A3" w:rsidP="00CA0183">
      <w:pPr>
        <w:jc w:val="both"/>
      </w:pPr>
      <w:r w:rsidRPr="001719A3">
        <w:t>O quórum foi iniciado às 14h15.</w:t>
      </w:r>
      <w:r>
        <w:t xml:space="preserve"> </w:t>
      </w:r>
      <w:r w:rsidRPr="001719A3">
        <w:t>José Bento da Rocha/SEMAD iniciou desejando boas-vindas e agradecendo a presença de todos os membros presentes. Em seguida, realizou a leitura da ordem do dia.</w:t>
      </w:r>
      <w:r w:rsidRPr="001719A3">
        <w:rPr>
          <w:b/>
          <w:bCs/>
        </w:rPr>
        <w:t xml:space="preserve"> </w:t>
      </w:r>
      <w:r w:rsidRPr="001719A3">
        <w:rPr>
          <w:b/>
          <w:bCs/>
        </w:rPr>
        <w:t>Item 1 – Deliberação da ata:</w:t>
      </w:r>
      <w:r w:rsidRPr="001719A3">
        <w:t xml:space="preserve"> Marcos/ABRH apresentou contribuição, acrescentando que um dos setores é o saneamento básico. Mário/SANEAGO realizou correções ortográficas, apontando que, onde consta “alçado”, o correto é </w:t>
      </w:r>
      <w:proofErr w:type="gramStart"/>
      <w:r w:rsidRPr="001719A3">
        <w:t>“alçada”</w:t>
      </w:r>
      <w:proofErr w:type="gramEnd"/>
      <w:r w:rsidRPr="001719A3">
        <w:t>, além de solicitar ajustes na pauta, com remoção de pequenos trechos. A pauta foi aprovada, ficando definido que as correções serão encaminhadas por e-mail.</w:t>
      </w:r>
      <w:r>
        <w:t xml:space="preserve"> </w:t>
      </w:r>
      <w:r w:rsidRPr="001719A3">
        <w:t xml:space="preserve">O </w:t>
      </w:r>
      <w:r w:rsidRPr="001719A3">
        <w:rPr>
          <w:b/>
          <w:bCs/>
        </w:rPr>
        <w:t>Item 2</w:t>
      </w:r>
      <w:r w:rsidRPr="001719A3">
        <w:t xml:space="preserve"> foi adiado até a chegada do responsável pela apresentação.</w:t>
      </w:r>
      <w:r w:rsidR="00DB2269" w:rsidRPr="00DB2269">
        <w:rPr>
          <w:rFonts w:ascii="Times New Roman" w:eastAsia="Times New Roman" w:hAnsi="Times New Roman" w:cs="Times New Roman"/>
          <w:b/>
          <w:bCs/>
          <w:sz w:val="24"/>
          <w:szCs w:val="24"/>
        </w:rPr>
        <w:t xml:space="preserve"> </w:t>
      </w:r>
      <w:r w:rsidR="00DB2269" w:rsidRPr="00DB2269">
        <w:rPr>
          <w:b/>
          <w:bCs/>
        </w:rPr>
        <w:t>Item 3 –</w:t>
      </w:r>
      <w:r w:rsidR="00DB2269" w:rsidRPr="00DB2269">
        <w:t xml:space="preserve"> A apresentação foi realizada por Ana Luiza</w:t>
      </w:r>
      <w:r w:rsidR="00DB2269">
        <w:t>/SEMAD</w:t>
      </w:r>
      <w:r w:rsidR="00DB2269" w:rsidRPr="00DB2269">
        <w:t>, que expôs a minuta de prorrogação dos mandatos dos membros do Comitê AGORA pelo prazo de 1 (um) ano, mantendo-se a mesma diretoria durante esse período, em razão do processo de transição com a AGEVAP. Explicou que a estrutura executiva ainda está sendo organizada pela AGEVAP e que a prorrogação busca assegurar representação efetiva. Destacou ainda que, como o Comitê não possui competência para deliberar sozinho sobre a matéria, a prorrogação deve ocorrer por meio de resolução.</w:t>
      </w:r>
      <w:r w:rsidR="00DB2269" w:rsidRPr="00DB2269">
        <w:rPr>
          <w:rFonts w:ascii="Times New Roman" w:eastAsia="Times New Roman" w:hAnsi="Times New Roman" w:cs="Times New Roman"/>
          <w:sz w:val="24"/>
          <w:szCs w:val="24"/>
        </w:rPr>
        <w:t xml:space="preserve"> </w:t>
      </w:r>
      <w:r w:rsidR="00DB2269" w:rsidRPr="00DB2269">
        <w:t>José Bento da Rocha/SEMAD complementou informando que, por se tratar de ano eleitoral (2026), a prorrogação não acarretaria prejuízos. Ressaltou também que, no caso do AGITOS, mesmo sendo ano eleitoral, seria necessário implementar as ações previstas.</w:t>
      </w:r>
      <w:r w:rsidR="00DB2269">
        <w:t xml:space="preserve"> </w:t>
      </w:r>
      <w:r w:rsidR="00DB2269" w:rsidRPr="00DB2269">
        <w:t>Ana acrescentou que os comitês possuem grande porte e que promover reformas estruturais em período eleitoral seria demasiadamente oneroso e complexo.</w:t>
      </w:r>
      <w:r w:rsidR="00DB2269">
        <w:t xml:space="preserve"> </w:t>
      </w:r>
      <w:r w:rsidR="00DB2269" w:rsidRPr="00DB2269">
        <w:t>José Bento da Rocha/SEMAD abriu a palavra para contribuições. Thiago/FAEG manifestou-se afirmando que, com a proposta, as plenárias permaneceriam iguais. Marcos/ABRH observou que a prorrogação é prática comum em comitês de bacia e ponderou que, quando há membros favoráveis à prorrogação, há também aqueles que não desejam assumir responsabilidades. Sugeriu que a prorrogação ocorresse apenas uma única vez, se possível.</w:t>
      </w:r>
      <w:r w:rsidR="00DB2269">
        <w:t xml:space="preserve"> </w:t>
      </w:r>
      <w:r w:rsidR="00DB2269" w:rsidRPr="00DB2269">
        <w:t>Ana</w:t>
      </w:r>
      <w:r w:rsidR="00DB2269">
        <w:t>/SEMAD</w:t>
      </w:r>
      <w:r w:rsidR="00DB2269" w:rsidRPr="00DB2269">
        <w:t xml:space="preserve"> respondeu que compreende a colocação, ressaltando que muitas resoluções já foram elaboradas pelo Comitê, mas que, no caso do AGORA, as questões são predominantemente técnicas. Informou que a mobilização da plenária exige organização e operação técnica que não seriam viáveis neste ano. Acrescentou que o Conselho Nacional estabeleceu previsão de que o Comitê não pode deliberar isoladamente sobre a própria prorrogação, devendo esta ocorrer mediante resolução do Conselho.</w:t>
      </w:r>
      <w:r w:rsidR="00DB2269">
        <w:t xml:space="preserve"> </w:t>
      </w:r>
      <w:r w:rsidR="00DB2269" w:rsidRPr="00DB2269">
        <w:t>João Ricardo</w:t>
      </w:r>
      <w:r w:rsidR="00DB2269">
        <w:t>/SEMAD</w:t>
      </w:r>
      <w:r w:rsidR="00DB2269" w:rsidRPr="00DB2269">
        <w:t xml:space="preserve"> afirmou compreender as questões técnicas, mas destacou que essa prática não é comum em Goiás nem no Paranaíba. Pontuou que o AGORA estaria deixando de atuar apenas como apoio para assumir caráter efetivo de comitê. Ressaltou ainda a importância da participação do Conselho, responsável pela decisão acerca da prorrogação, reforçando, contudo, que não se trata de prática usual no Estado.</w:t>
      </w:r>
      <w:r w:rsidR="00DB2269">
        <w:t xml:space="preserve"> </w:t>
      </w:r>
      <w:r w:rsidR="00DB2269" w:rsidRPr="00DB2269">
        <w:t xml:space="preserve">Wilson/AMAT-GO questionou se o decreto tratava de uma diretoria </w:t>
      </w:r>
      <w:r w:rsidR="00DB2269" w:rsidRPr="00DB2269">
        <w:lastRenderedPageBreak/>
        <w:t>provisória. Ana</w:t>
      </w:r>
      <w:r w:rsidR="00DB2269">
        <w:t>/SEMAD</w:t>
      </w:r>
      <w:r w:rsidR="00DB2269" w:rsidRPr="00DB2269">
        <w:t xml:space="preserve"> esclareceu que o decreto previa apenas a indicação dos membros, sendo concedido prazo de 15 dias ao presidente para as indicações. Informou que a posse já havia sido realizada e que agora seria necessária deliberação para a eleição.</w:t>
      </w:r>
      <w:r w:rsidR="00DB2269">
        <w:t xml:space="preserve"> </w:t>
      </w:r>
      <w:r w:rsidR="00DB2269" w:rsidRPr="00DB2269">
        <w:t xml:space="preserve">Mário/SANEAGO relembrou a trajetória dos recursos hídricos no Estado, mencionando o período em que Marcos/ABRH presidiu o Comitê, época em que não havia estrutura adequada. Destacou que </w:t>
      </w:r>
      <w:proofErr w:type="spellStart"/>
      <w:r w:rsidR="00DB2269" w:rsidRPr="00DB2269">
        <w:t>Correntino</w:t>
      </w:r>
      <w:proofErr w:type="spellEnd"/>
      <w:r w:rsidR="00DB2269" w:rsidRPr="00DB2269">
        <w:t xml:space="preserve"> foi responsável por sustentar os trabalhos naquele momento e manifestou gratidão por seus esforços e pela continuidade dos comitês.</w:t>
      </w:r>
      <w:r w:rsidR="00DB2269">
        <w:t xml:space="preserve"> </w:t>
      </w:r>
      <w:r w:rsidR="00DB2269" w:rsidRPr="00DB2269">
        <w:t>José Bento da Rocha/SEMAD colocou o Item 3 em votação, sendo aprovado por unanimidade.</w:t>
      </w:r>
      <w:r w:rsidR="00CA0183">
        <w:t xml:space="preserve"> </w:t>
      </w:r>
      <w:r w:rsidR="00CA0183" w:rsidRPr="00CA0183">
        <w:rPr>
          <w:b/>
          <w:bCs/>
        </w:rPr>
        <w:t>Item 4 –</w:t>
      </w:r>
      <w:r w:rsidR="00CA0183" w:rsidRPr="00CA0183">
        <w:t xml:space="preserve"> José Bento da Rocha/SEMAD explicou o item e a solicitação de alteração da Resolução nº 166, esclarecendo que a pauta tratava especificamente da alteração do art. 4º da referida resolução.</w:t>
      </w:r>
      <w:r w:rsidR="00CA0183">
        <w:t xml:space="preserve"> </w:t>
      </w:r>
      <w:r w:rsidR="00CA0183" w:rsidRPr="00CA0183">
        <w:t xml:space="preserve">Guilherme </w:t>
      </w:r>
      <w:proofErr w:type="spellStart"/>
      <w:r w:rsidR="00CA0183" w:rsidRPr="00CA0183">
        <w:t>Dall’Agnol</w:t>
      </w:r>
      <w:proofErr w:type="spellEnd"/>
      <w:r w:rsidR="00CA0183" w:rsidRPr="00CA0183">
        <w:t>/CREA informou que a proposta surgiu em razão de um descompasso entre as regras de outorga e de licenciamento ambiental, especialmente em relação às áreas alagadas de até 12 mil metros quadrados, que atualmente estão sujeitas à outorga, mas possuem inexigibilidade de licenciamento ambiental, gerando falta de alinhamento de informações para os usuários.</w:t>
      </w:r>
      <w:r w:rsidR="00CA0183">
        <w:t xml:space="preserve"> </w:t>
      </w:r>
      <w:r w:rsidR="00CA0183" w:rsidRPr="00CA0183">
        <w:t>Relatou que, após discussões, concluiu-se que o Sistema Veredas direciona o usuário tanto para outorga quanto para uso insignificante. Assim, visando facilitar o entendimento e promover alinhamento entre as legislações, propôs-se retirar o parâmetro de altura de 3 metros, permanecendo apenas o critério da área alagada, limitada a até 12 mil metros quadrados para fins de registro e uso insignificante. Destacou ainda que a alteração não traria prejuízo à segurança, considerando a obrigatoriedade do Cadastro de Segurança de Barragens gerido pela SEMAD.</w:t>
      </w:r>
      <w:r w:rsidR="00CA0183">
        <w:t xml:space="preserve"> </w:t>
      </w:r>
      <w:r w:rsidR="00CA0183" w:rsidRPr="00CA0183">
        <w:t>Aberta a discussão do Item 4, José Bento da Rocha/SEMAD explicou que áreas de até 12 mil metros quadrados de lâmina d’água possuem inexigibilidade de licenciamento, enquanto áreas de até 50 mil metros quadrados exigem registro, ressaltando que essa sistemática deverá futuramente migrar para Licença Ambiental por Compromisso – LAC. Informou ainda que, a partir de 5 hectares, o empreendimento passa a ser licenciável. Acrescentou que, na outorga, o limite de 12 mil metros quadrados está associado à altura do barramento, sendo a proposta desvincular a altura e alinhar a regra ao critério da lâmina d’água adotado no licenciamento ambiental.</w:t>
      </w:r>
      <w:r w:rsidR="00CA0183">
        <w:t xml:space="preserve"> </w:t>
      </w:r>
      <w:r w:rsidR="00CA0183" w:rsidRPr="00CA0183">
        <w:t>Antônio/CELG GT informou que participou da comissão responsável pela discussão e destacou que a principal preocupação relacionada ao critério de altura sempre foi a segurança das barragens. Explicou que a área está vinculada ao aspecto ambiental, enquanto a altura se relaciona diretamente à segurança estrutural. Considerou o limite de 3 metros restritivo, mas observou que, durante as discussões anteriores, não houve manifestações contrárias. Manifestou-se favorável à revisão do parâmetro de altura, mas ponderou que sua eliminação total talvez não fosse adequada, sugerindo a adoção de critério intermediário mais realista, considerando que a barragem não decorre exclusivamente do licenciamento ambiental e que não há outra instância específica de avaliação de potencial de risco além desse regramento.</w:t>
      </w:r>
      <w:r w:rsidR="00CA0183">
        <w:t xml:space="preserve"> </w:t>
      </w:r>
      <w:r w:rsidR="00CA0183" w:rsidRPr="00CA0183">
        <w:t>Guilherme/CREA respondeu que o processo de outorga não deixa de exigir o cadastro de segurança do barramento, destacando que atualmente a SEMAD possui estrutura para avaliação de segurança e risco das barragens, o que gera obrigações aos usuários.</w:t>
      </w:r>
    </w:p>
    <w:p w14:paraId="50DB77E7" w14:textId="44AFD80C" w:rsidR="00FC3D45" w:rsidRPr="00FC3D45" w:rsidRDefault="00CA0183" w:rsidP="00FC3D45">
      <w:pPr>
        <w:jc w:val="both"/>
      </w:pPr>
      <w:r w:rsidRPr="00CA0183">
        <w:lastRenderedPageBreak/>
        <w:t>Antônio/CELG GT questionou como seria realizada a fiscalização das condições de segurança em empreendimentos menores e qual a capacidade operacional do órgão para esse acompanhamento.</w:t>
      </w:r>
      <w:r>
        <w:t xml:space="preserve"> </w:t>
      </w:r>
      <w:r w:rsidRPr="00CA0183">
        <w:t>José Bento da Rocha/SEMAD afirmou que Goiás é atualmente referência em segurança de barragens e gestão de risco, contando com sistemas capazes de monitorar essas estruturas. Ressaltou ainda a necessidade de diferenciar licenciamento ambiental de outorga, esclarecendo que, embora o licenciamento possa ser inexigível em determinados casos, a outorga permanece obrigatória, ainda que caracterizada como uso insignificante. Informou que atualmente não há dispensa de outorga, mas sim enquadramento como uso insignificante.</w:t>
      </w:r>
      <w:r>
        <w:t xml:space="preserve"> </w:t>
      </w:r>
      <w:r w:rsidRPr="00CA0183">
        <w:t xml:space="preserve">Thiago/FAEG observou que, à época da aprovação da norma no </w:t>
      </w:r>
      <w:proofErr w:type="spellStart"/>
      <w:r w:rsidRPr="00CA0183">
        <w:t>CERHi</w:t>
      </w:r>
      <w:proofErr w:type="spellEnd"/>
      <w:r w:rsidRPr="00CA0183">
        <w:t>, essa discussão não havia sido aprofundada. Recordou que foi aprovado entendimento de que barramentos de até 5 metros poderiam ser executados, destacando que, muitas vezes, há pequenos barramentos com área reduzida e altura insignificante, nos quais a altura não representaria fator de risco relevante. Acrescentou que outras variáveis também devem ser consideradas, como a existência de moradias próximas, o que poderia ampliar potenciais danos.</w:t>
      </w:r>
      <w:r>
        <w:t xml:space="preserve"> </w:t>
      </w:r>
      <w:r w:rsidRPr="00CA0183">
        <w:t xml:space="preserve">Flávio/Fundação César </w:t>
      </w:r>
      <w:proofErr w:type="spellStart"/>
      <w:r w:rsidRPr="00CA0183">
        <w:t>Baiocchi</w:t>
      </w:r>
      <w:proofErr w:type="spellEnd"/>
      <w:r w:rsidRPr="00CA0183">
        <w:t xml:space="preserve"> informou não visualizar grandes preocupações quanto à proposta, mencionando que diversas pequenas barragens aumentaram o risco justamente pela ausência de descarga de fundo. Ressaltou que essas informações já são contempladas no cadastro de barragens e que o alinhamento entre as normas seria positivo.</w:t>
      </w:r>
      <w:r>
        <w:t xml:space="preserve"> </w:t>
      </w:r>
      <w:r w:rsidRPr="00CA0183">
        <w:t>Antônio/CELG GT reiterou que sua manifestação tinha caráter de alerta.</w:t>
      </w:r>
      <w:r>
        <w:t xml:space="preserve"> </w:t>
      </w:r>
      <w:r w:rsidRPr="00CA0183">
        <w:t>Guilherme/CREA acrescentou que o sistema online já permite ao usuário visualizar essas exigências e afirmou concordar tecnicamente com as ponderações apresentadas, mas destacou que a proposta foi mantida para evitar maior complexidade ao usuário, considerando que o objetivo do regramento é incentivar a regularização.</w:t>
      </w:r>
      <w:r>
        <w:t xml:space="preserve"> </w:t>
      </w:r>
      <w:r w:rsidRPr="00CA0183">
        <w:t>José Bento da Rocha/SEMAD comentou que não faria sentido direcionar esforços para pequenas cacimbas, ressaltando que reservatórios acima de 5 hectares já se encontram mapeados. Em seguida, explicou que a proposta consistia na retirada de um inciso e inclusão de novo dispositivo.</w:t>
      </w:r>
      <w:r>
        <w:t xml:space="preserve"> </w:t>
      </w:r>
      <w:r w:rsidRPr="00CA0183">
        <w:t xml:space="preserve">Flávio /Fundação César </w:t>
      </w:r>
      <w:proofErr w:type="spellStart"/>
      <w:r w:rsidRPr="00CA0183">
        <w:t>Baiocchi</w:t>
      </w:r>
      <w:proofErr w:type="spellEnd"/>
      <w:r w:rsidRPr="00CA0183">
        <w:t xml:space="preserve"> acrescentou que a segurança das barragens já será tratada em regulamentação específica.</w:t>
      </w:r>
      <w:r>
        <w:t xml:space="preserve"> </w:t>
      </w:r>
      <w:r w:rsidRPr="00CA0183">
        <w:t>Colocado em votação, o Item 4 foi aprovado por unanimidade.</w:t>
      </w:r>
      <w:r>
        <w:t xml:space="preserve"> </w:t>
      </w:r>
      <w:r w:rsidR="00FC3D45" w:rsidRPr="00FC3D45">
        <w:rPr>
          <w:b/>
          <w:bCs/>
        </w:rPr>
        <w:t xml:space="preserve">Item 5 – </w:t>
      </w:r>
      <w:r w:rsidR="00FC3D45" w:rsidRPr="00FC3D45">
        <w:t xml:space="preserve">Ainda com apresentação de Guilherme </w:t>
      </w:r>
      <w:proofErr w:type="spellStart"/>
      <w:r w:rsidR="00FC3D45" w:rsidRPr="00FC3D45">
        <w:t>Dall’Agnol</w:t>
      </w:r>
      <w:proofErr w:type="spellEnd"/>
      <w:r w:rsidR="00FC3D45" w:rsidRPr="00FC3D45">
        <w:t>/CREA, foi abordada a questão relacionada ao uso de caminhões-pipa, destacando que determinados setores foram impactados em razão da regulamentação vigente. Explicou sobre a necessidade de observância da vazão, dos pontos outorgados e do acompanhamento desses pontos, motivo pelo qual trouxe a discussão ao plenário do Conselho.</w:t>
      </w:r>
      <w:r w:rsidR="00FC3D45">
        <w:t xml:space="preserve"> </w:t>
      </w:r>
      <w:r w:rsidR="00FC3D45" w:rsidRPr="00FC3D45">
        <w:t>Questionou se, em determinadas situações emergenciais, o usuário necessariamente deveria possuir outorga, ponderando se algumas situações críticas ou emergenciais realmente demandariam essa exigência. Considerou que nem todos os casos necessitam de outorga, apresentando como referência legislações de outros estados, como Minas Gerais.</w:t>
      </w:r>
      <w:r w:rsidR="00FC3D45">
        <w:t xml:space="preserve"> </w:t>
      </w:r>
      <w:r w:rsidR="00FC3D45" w:rsidRPr="00FC3D45">
        <w:t xml:space="preserve">Informou que a sugestão de redação prevê a dispensa de outorga de direito de uso de recursos hídricos, condicionada à comunicação ao órgão competente no prazo de até 10 dias após a utilização do recurso, nos casos emergenciais que impliquem risco iminente, ficando eventual exigência de outorga </w:t>
      </w:r>
      <w:r w:rsidR="00FC3D45" w:rsidRPr="00FC3D45">
        <w:lastRenderedPageBreak/>
        <w:t>sujeita à deliberação posterior.</w:t>
      </w:r>
      <w:r w:rsidR="00FC3D45">
        <w:t xml:space="preserve"> </w:t>
      </w:r>
      <w:r w:rsidR="00FC3D45" w:rsidRPr="00FC3D45">
        <w:t>José Bento da Rocha/SEMAD contribuiu mencionando a Lei nº 190, que trata de situações semelhantes, esclarecendo que inexigibilidade e dispensa são conceitos distintos, mas que, no caso da outorga, essa previsão também já se encontra contemplada na legislação.</w:t>
      </w:r>
      <w:r w:rsidR="00FC3D45">
        <w:t xml:space="preserve"> </w:t>
      </w:r>
      <w:r w:rsidR="00FC3D45" w:rsidRPr="00FC3D45">
        <w:t>O Item 5 entrou em discussão, com apresentação da forma como a proposta seria estruturada.</w:t>
      </w:r>
      <w:r w:rsidR="00FC3D45">
        <w:t xml:space="preserve"> </w:t>
      </w:r>
      <w:r w:rsidR="00FC3D45" w:rsidRPr="00FC3D45">
        <w:t>Ana</w:t>
      </w:r>
      <w:r w:rsidR="00FC3D45">
        <w:t>/SEMAD</w:t>
      </w:r>
      <w:r w:rsidR="00FC3D45" w:rsidRPr="00FC3D45">
        <w:t xml:space="preserve"> questionou Guilherme/CREA acerca da exigência da Agência Nacional de Águas e Saneamento Básico – ANA quanto à solicitação prévia contendo localização do empreendimento e prazo específico após a utilização do recurso hídrico.</w:t>
      </w:r>
      <w:r w:rsidR="00FC3D45">
        <w:t xml:space="preserve"> </w:t>
      </w:r>
      <w:r w:rsidR="00FC3D45" w:rsidRPr="00FC3D45">
        <w:t>Guilherme/CREA respondeu que, em situações emergenciais, aguardar autorização prévia inviabilizaria o uso do recurso em tempo hábil, podendo agravar a situação até a conclusão da análise.</w:t>
      </w:r>
      <w:r w:rsidR="00FC3D45">
        <w:t xml:space="preserve"> </w:t>
      </w:r>
      <w:r w:rsidR="00FC3D45" w:rsidRPr="00FC3D45">
        <w:t xml:space="preserve">Flávio /Fundação César </w:t>
      </w:r>
      <w:proofErr w:type="spellStart"/>
      <w:r w:rsidR="00FC3D45" w:rsidRPr="00FC3D45">
        <w:t>Baiocchi</w:t>
      </w:r>
      <w:proofErr w:type="spellEnd"/>
      <w:r w:rsidR="00FC3D45" w:rsidRPr="00FC3D45">
        <w:t xml:space="preserve"> exemplificou situações de incêndio, questionando como seria possível ao órgão gestor atuar previamente em ocorrências imprevisíveis. Defendeu que a comunicação deveria ocorrer posteriormente ao uso do recurso, após a solução da situação emergencial, uma vez que não há como prever previamente esse tipo de ocorrência. Acrescentou que bastaria ao usuário comunicar ao órgão gestor o volume utilizado, ficando eventual cobrança a critério do órgão competente, mas ressaltou que não haveria tempo hábil para realizar cadastro e encaminhamento prévio ao órgão.</w:t>
      </w:r>
      <w:r w:rsidR="00FC3D45">
        <w:t xml:space="preserve"> </w:t>
      </w:r>
      <w:r w:rsidR="00FC3D45" w:rsidRPr="00FC3D45">
        <w:t>Ana</w:t>
      </w:r>
      <w:r w:rsidR="00FC3D45">
        <w:t>/SEMAD</w:t>
      </w:r>
      <w:r w:rsidR="00FC3D45" w:rsidRPr="00FC3D45">
        <w:t xml:space="preserve"> observou que a proposta apresentada não previa mecanismo de validação.</w:t>
      </w:r>
    </w:p>
    <w:p w14:paraId="10165155" w14:textId="3AA87D88" w:rsidR="00FC3D45" w:rsidRPr="00FC3D45" w:rsidRDefault="00FC3D45" w:rsidP="00FC3D45">
      <w:pPr>
        <w:jc w:val="both"/>
      </w:pPr>
      <w:r w:rsidRPr="00FC3D45">
        <w:t>João Ricardo</w:t>
      </w:r>
      <w:r>
        <w:t>/SEMAD</w:t>
      </w:r>
      <w:r w:rsidRPr="00FC3D45">
        <w:t xml:space="preserve"> manifestou entendimento de que a proposta ainda se encontrava muito genérica, destacando que determinadas situações classificadas como emergenciais poderiam não se enquadrar efetivamente como emergência. Ressaltou que diversos pontos de captação já deveriam estar previamente mapeados e que o próprio sistema de outorga reconhece determinadas captações em operação. Citou ainda a legislação do Estado de Minas Gerais, que prevê a obrigação de informar posteriormente ao órgão gestor sobre o uso realizado, acompanhado de justificativa específica. Pontuou que a outorga não se restringe à gestão do uso da água, envolvendo também impactos e cobrança pelo uso do recurso hídrico. Defendeu, portanto, a necessidade de maior detalhamento da proposta, de modo a delimitar objetivamente o que seria considerado situação emergencial.</w:t>
      </w:r>
      <w:r>
        <w:t xml:space="preserve"> </w:t>
      </w:r>
      <w:r w:rsidRPr="00FC3D45">
        <w:t>André/SEMAD ressaltou a necessidade de definição clara acerca das situações efetivamente emergenciais. Pontuou que a solicitação de outorga posterior ao uso se aplicaria apenas aos casos em que o impacto não fosse permanente, destacando que, em determinadas situações, a solicitação continuaria obrigatória, sendo necessário informar previamente o órgão competente e formalizar o pedido.</w:t>
      </w:r>
      <w:r>
        <w:t xml:space="preserve"> </w:t>
      </w:r>
      <w:r w:rsidRPr="00FC3D45">
        <w:t xml:space="preserve">Rodrigo/SEMAD observou que </w:t>
      </w:r>
      <w:proofErr w:type="spellStart"/>
      <w:r w:rsidRPr="00FC3D45">
        <w:t>empreendimentos</w:t>
      </w:r>
      <w:proofErr w:type="spellEnd"/>
      <w:r w:rsidRPr="00FC3D45">
        <w:t xml:space="preserve"> sujeitos a possíveis usos emergenciais devem prever tais cenários em seus planejamentos. Ressaltou que, independentemente do porte do empreendimento, se houver previsão de ocorrência de situações críticas em seus estudos e escopo operacional, caberia ao empreendedor buscar regularização antecipada.</w:t>
      </w:r>
      <w:r>
        <w:t xml:space="preserve"> </w:t>
      </w:r>
      <w:r w:rsidRPr="00FC3D45">
        <w:t>José Bento da Rocha/SEMAD acrescentou que sua principal preocupação recaía sobre os canaviais.</w:t>
      </w:r>
      <w:r>
        <w:t xml:space="preserve"> </w:t>
      </w:r>
      <w:r w:rsidRPr="00FC3D45">
        <w:t xml:space="preserve">Guilherme/CREA respondeu que determinados setores industriais já possuem obrigação de manter reserva técnica, mas ponderou que, no caso dos canaviais, apesar da existência de técnicas preventivas, determinadas situações continuam sendo imprevisíveis. Registrou-se, neste momento, a chegada do membro </w:t>
      </w:r>
      <w:proofErr w:type="spellStart"/>
      <w:r w:rsidRPr="00FC3D45">
        <w:t>Raviel</w:t>
      </w:r>
      <w:proofErr w:type="spellEnd"/>
      <w:r w:rsidRPr="00FC3D45">
        <w:t xml:space="preserve"> Eurico </w:t>
      </w:r>
      <w:r w:rsidRPr="00FC3D45">
        <w:lastRenderedPageBreak/>
        <w:t>Basso/UFG.</w:t>
      </w:r>
      <w:r>
        <w:t xml:space="preserve"> </w:t>
      </w:r>
      <w:r w:rsidRPr="00FC3D45">
        <w:t>Guilherme/CREA acrescentou que o planejamento pode ser realizado, porém sua execução é complexa, especialmente em relação à definição prévia dos locais de captação e dos pontos de combate ao incêndio. Defendeu que seria importante diferenciar situações envolvendo indústrias e canaviais. Acrescentou ainda que atualmente não existe previsão específica de “uso emergencial” na outorga, sendo todos os usos tratados como contínuos, o que gera dificuldades inclusive na parametrização de caminhões-pipa. Reconheceu que a redação da proposta ainda necessita de aprimoramentos, mas reiterou que a principal demanda decorre do combate a incêndios.</w:t>
      </w:r>
    </w:p>
    <w:p w14:paraId="76438434" w14:textId="2D6EFDF3" w:rsidR="00FC3D45" w:rsidRPr="00FC3D45" w:rsidRDefault="00FC3D45" w:rsidP="00FC3D45">
      <w:pPr>
        <w:jc w:val="both"/>
      </w:pPr>
      <w:r w:rsidRPr="00FC3D45">
        <w:t xml:space="preserve">Wilson/AMAT-GO afirmou entender que há confusão entre os conceitos de outorga e uso emergencial da água, destacando que </w:t>
      </w:r>
      <w:proofErr w:type="spellStart"/>
      <w:r w:rsidRPr="00FC3D45">
        <w:t>empreendimentos</w:t>
      </w:r>
      <w:proofErr w:type="spellEnd"/>
      <w:r w:rsidRPr="00FC3D45">
        <w:t xml:space="preserve"> devem possuir locais previamente definidos para prevenção e contingência. Manifestou entendimento de que a matéria não deveria ser disciplinada por resolução.</w:t>
      </w:r>
      <w:r>
        <w:t xml:space="preserve"> </w:t>
      </w:r>
      <w:r w:rsidRPr="00FC3D45">
        <w:t>Marcos/ABRH manifestou-se no sentido de que situações emergenciais não deveriam depender de outorga, citando exemplos da França, onde existem poços subterrâneos destinados ao atendimento de situações críticas, como sabotagens e outras emergências. Defendeu que um documento declaratório seria suficiente para resguardar essas situações.</w:t>
      </w:r>
      <w:r>
        <w:t xml:space="preserve"> </w:t>
      </w:r>
      <w:r w:rsidRPr="00FC3D45">
        <w:t>Mário/SANEAGO sugeriu a retirada da proposta para aperfeiçoamento e reapresentação posterior.</w:t>
      </w:r>
      <w:r>
        <w:t xml:space="preserve"> </w:t>
      </w:r>
      <w:r w:rsidRPr="00FC3D45">
        <w:t>Guilherme/CREA ressaltou que a norma atualmente prevê sujeição à outorga, entendendo que essa previsão deveria constar expressamente em resolução para fins de resguardo jurídico. Ao final das discussões, retirou o item de pauta para aprimoramento da proposta e posterior reapresentação com nova redação.</w:t>
      </w:r>
      <w:r>
        <w:t xml:space="preserve"> </w:t>
      </w:r>
      <w:r w:rsidRPr="00FC3D45">
        <w:rPr>
          <w:b/>
          <w:bCs/>
        </w:rPr>
        <w:t>Item 2 –</w:t>
      </w:r>
      <w:r w:rsidRPr="00FC3D45">
        <w:t xml:space="preserve"> Apresentação dos formulários do PROGESTÃO referentes à autoavaliação, autodeclaração e desembolsos.</w:t>
      </w:r>
      <w:r>
        <w:t xml:space="preserve"> </w:t>
      </w:r>
      <w:r w:rsidRPr="00FC3D45">
        <w:t>Fabrício/SEMAD iniciou explicando o funcionamento do PROGESTÃO, destacando que o programa realiza prestações de contas anuais e que já possui mais de 10 anos de execução no país.</w:t>
      </w:r>
      <w:r w:rsidR="00EC7CBD">
        <w:t xml:space="preserve"> </w:t>
      </w:r>
      <w:r w:rsidRPr="00FC3D45">
        <w:t>Ao apresentar o formulário de autoavaliação, contextualizou as metas previstas, dando destaque ao Plano de Bacias. Informou que a meta prevista era nível 5, porém, em 2025, Goiás ficou no nível 2, abaixo da meta estipulada.</w:t>
      </w:r>
      <w:r w:rsidR="00EC7CBD">
        <w:t xml:space="preserve"> </w:t>
      </w:r>
      <w:r w:rsidRPr="00FC3D45">
        <w:t>Alan</w:t>
      </w:r>
      <w:r w:rsidR="00EC7CBD">
        <w:t>/SEMAD</w:t>
      </w:r>
      <w:r w:rsidRPr="00FC3D45">
        <w:t xml:space="preserve"> complementou informando que atualmente estão sendo realizados mais estudos técnicos, o que poderá viabilizar aumento da meta futuramente.</w:t>
      </w:r>
      <w:r w:rsidR="00EC7CBD">
        <w:t xml:space="preserve"> </w:t>
      </w:r>
      <w:r w:rsidRPr="00FC3D45">
        <w:t>Fabrício</w:t>
      </w:r>
      <w:r w:rsidR="00EC7CBD">
        <w:t>/SEMAD</w:t>
      </w:r>
      <w:r w:rsidRPr="00FC3D45">
        <w:t xml:space="preserve"> prosseguiu explicando que Goiás ainda não alcança o nível 4 nessa avaliação em razão dos pontos de monitoramento existentes no Estado.</w:t>
      </w:r>
    </w:p>
    <w:p w14:paraId="570D5B3B" w14:textId="3C2CE65B" w:rsidR="00FC3D45" w:rsidRPr="00FC3D45" w:rsidRDefault="00FC3D45" w:rsidP="00FC3D45">
      <w:pPr>
        <w:jc w:val="both"/>
      </w:pPr>
      <w:r w:rsidRPr="00FC3D45">
        <w:t>Antônio/CELG GT questionou sobre os sistemas de inovação e quais seriam as exigências necessárias para avanço de nível, considerando que atualmente Goiás se encontra no nível 4 nesse quesito. Alan</w:t>
      </w:r>
      <w:r w:rsidR="00EC7CBD">
        <w:t>/SEMAD</w:t>
      </w:r>
      <w:r w:rsidRPr="00FC3D45">
        <w:t xml:space="preserve"> esclareceu os requisitos necessários para progressão.</w:t>
      </w:r>
      <w:r w:rsidR="00EC7CBD">
        <w:t xml:space="preserve"> </w:t>
      </w:r>
      <w:r w:rsidRPr="00FC3D45">
        <w:t>Na sequência, Antônio/CELG GT perguntou sobre a situação da infraestrutura hídrica. Fabrício</w:t>
      </w:r>
      <w:r w:rsidR="00EC7CBD">
        <w:t>/SEMAD</w:t>
      </w:r>
      <w:r w:rsidRPr="00FC3D45">
        <w:t xml:space="preserve"> respondeu que, atualmente, essa temática não é considerada prioridade, sendo geralmente mais relevante para estados da região Nordeste.</w:t>
      </w:r>
      <w:r w:rsidR="00EC7CBD">
        <w:t xml:space="preserve"> </w:t>
      </w:r>
      <w:r w:rsidRPr="00FC3D45">
        <w:t>Passou-se então à apresentação da autodeclaração, ocasião em que Fabrício</w:t>
      </w:r>
      <w:r w:rsidR="00EC7CBD">
        <w:t>/SEMAD</w:t>
      </w:r>
      <w:r w:rsidRPr="00FC3D45">
        <w:t xml:space="preserve"> destacou a inclusão, no planejamento estratégico, das estações do </w:t>
      </w:r>
      <w:r w:rsidR="00926EFB">
        <w:t>CIMEHGO</w:t>
      </w:r>
      <w:r w:rsidRPr="00FC3D45">
        <w:t>, informando a instalação de 180 pluviômetros, bem como investimentos nesses equipamentos e no Sistema Veredas, relacionado à outorga, previstos para 2025.</w:t>
      </w:r>
      <w:r w:rsidR="00EC7CBD">
        <w:t xml:space="preserve"> </w:t>
      </w:r>
      <w:r w:rsidRPr="00FC3D45">
        <w:t>Antônio/CELG GT questionou sobre os pluviômetros e eventuais problemas relacionados às instalações. Fabrício</w:t>
      </w:r>
      <w:r w:rsidR="00EC7CBD">
        <w:t>/SEMAD</w:t>
      </w:r>
      <w:r w:rsidRPr="00FC3D45">
        <w:t xml:space="preserve"> explicou que, a cada dois anos, é emitida </w:t>
      </w:r>
      <w:r w:rsidRPr="00FC3D45">
        <w:lastRenderedPageBreak/>
        <w:t>deliberação do Conselho contendo metas e valores finais, informando que, em 2025, foi aplicado o percentual de 9%.</w:t>
      </w:r>
      <w:r w:rsidR="00EC7CBD">
        <w:t xml:space="preserve"> </w:t>
      </w:r>
      <w:r w:rsidRPr="00FC3D45">
        <w:t>Wilson/AMAT-GO perguntou se os recursos do PROGESTÃO correspondem aos investimentos provenientes da ANA. Fabrício</w:t>
      </w:r>
      <w:r w:rsidR="00EC7CBD">
        <w:t>/SEMAD</w:t>
      </w:r>
      <w:r w:rsidRPr="00FC3D45">
        <w:t xml:space="preserve"> respondeu afirmativamente.</w:t>
      </w:r>
      <w:r w:rsidR="00EC7CBD">
        <w:t xml:space="preserve"> </w:t>
      </w:r>
      <w:r w:rsidRPr="00FC3D45">
        <w:t>Alan</w:t>
      </w:r>
      <w:r w:rsidR="00EC7CBD">
        <w:t>/SEMAD</w:t>
      </w:r>
      <w:r w:rsidRPr="00FC3D45">
        <w:t xml:space="preserve"> explicou aspectos da apresentação, ressaltando que os arquivos haviam sido encaminhados previamente por e-mail junto à convocação. Acrescentou que os recursos do PROGESTÃO são destinados exclusivamente à área de recursos hídricos e que, anualmente, as informações são apresentadas ao </w:t>
      </w:r>
      <w:proofErr w:type="spellStart"/>
      <w:r w:rsidRPr="00FC3D45">
        <w:t>CERHi</w:t>
      </w:r>
      <w:proofErr w:type="spellEnd"/>
      <w:r w:rsidRPr="00FC3D45">
        <w:t xml:space="preserve"> como prestação de contas, sendo a ANA responsável pela avaliação da destinação dos recursos.</w:t>
      </w:r>
      <w:r w:rsidR="00EC7CBD">
        <w:t xml:space="preserve"> </w:t>
      </w:r>
      <w:r w:rsidRPr="00FC3D45">
        <w:t>Wilson/AMAT-GO parabenizou o programa pela iniciativa de incentivo, mesmo diante da redução de recursos.</w:t>
      </w:r>
      <w:r w:rsidR="00EC7CBD">
        <w:t xml:space="preserve"> </w:t>
      </w:r>
      <w:r w:rsidRPr="00FC3D45">
        <w:t>João Ricardo</w:t>
      </w:r>
      <w:r w:rsidR="00EC7CBD">
        <w:t>/SEMAD</w:t>
      </w:r>
      <w:r w:rsidRPr="00FC3D45">
        <w:t xml:space="preserve"> comentou sobre a compensação financeira relacionada aos recursos hídricos, observando que a ANA enfrenta dificuldades nessa questão, mas informou que a cobrança pelos Comitês de Bacia já foi liberada, de modo que os recursos arrecadados passam a chegar integralmente à SEMAD para investimento em recursos hídricos.</w:t>
      </w:r>
      <w:r w:rsidR="00EC7CBD">
        <w:t xml:space="preserve"> </w:t>
      </w:r>
      <w:r w:rsidRPr="00FC3D45">
        <w:t>Wilson/AMAT-GO avaliou que novas informações ainda deverão ser divulgadas sobre o tema.</w:t>
      </w:r>
      <w:r w:rsidR="00EC7CBD">
        <w:t xml:space="preserve"> </w:t>
      </w:r>
      <w:r w:rsidRPr="00FC3D45">
        <w:t>Fabrício</w:t>
      </w:r>
      <w:r w:rsidR="00EC7CBD">
        <w:t>/SEMAD</w:t>
      </w:r>
      <w:r w:rsidRPr="00FC3D45">
        <w:t xml:space="preserve"> esclareceu que os aditivos contratuais permitem que eventual redução de recursos a serem repassados seja posteriormente revertida.</w:t>
      </w:r>
      <w:r w:rsidR="00EC7CBD">
        <w:t xml:space="preserve"> </w:t>
      </w:r>
      <w:r w:rsidRPr="00FC3D45">
        <w:t>Wilson/AMAT-GO também destacou que a contratação da AGEVAP foi positiva para o Estado e que, caso se consolide como experiência efetiva, poderá servir de modelo para outras unidades da federação. Comentou ainda sobre o monitoramento da rede, reconhecendo avanços, embora entenda que ainda há mudanças a serem realizadas.</w:t>
      </w:r>
      <w:r w:rsidR="00EC7CBD">
        <w:t xml:space="preserve"> </w:t>
      </w:r>
      <w:r w:rsidRPr="00FC3D45">
        <w:t>Fabrício</w:t>
      </w:r>
      <w:r w:rsidR="00EC7CBD">
        <w:t xml:space="preserve">/SEMAD </w:t>
      </w:r>
      <w:r w:rsidRPr="00FC3D45">
        <w:t>informou que a meta máxima é nível 4, enquanto Goiás atualmente se encontra no nível 3.</w:t>
      </w:r>
      <w:r w:rsidR="00EC7CBD">
        <w:t xml:space="preserve"> </w:t>
      </w:r>
      <w:proofErr w:type="spellStart"/>
      <w:r w:rsidRPr="00FC3D45">
        <w:t>Raviel</w:t>
      </w:r>
      <w:proofErr w:type="spellEnd"/>
      <w:r w:rsidRPr="00FC3D45">
        <w:t>/UFG questionou os custos relacionados aos pluviômetros, afirmando que alguns orçamentos por ele consultados apresentavam valores inferiores aos investimentos mencionados. Fabrício</w:t>
      </w:r>
      <w:r w:rsidR="00EC7CBD">
        <w:t>/SEMAD</w:t>
      </w:r>
      <w:r w:rsidRPr="00FC3D45">
        <w:t xml:space="preserve"> apresentou esclarecimentos sobre os equipamentos. </w:t>
      </w:r>
      <w:proofErr w:type="spellStart"/>
      <w:r w:rsidRPr="00FC3D45">
        <w:t>Raviel</w:t>
      </w:r>
      <w:proofErr w:type="spellEnd"/>
      <w:r w:rsidRPr="00FC3D45">
        <w:t>/UFG ponderou que os valores informados pareciam baixos e que tanto os valores quanto a quantidade de equipamentos instalados podem ter sido considerados positivamente pela ANA.</w:t>
      </w:r>
      <w:r w:rsidR="00EC7CBD">
        <w:t xml:space="preserve"> </w:t>
      </w:r>
      <w:r w:rsidRPr="00FC3D45">
        <w:t>Antônio/CELG GT questionou se, nesse cenário, a nota do Estado não deveria ser superior. Fabrício</w:t>
      </w:r>
      <w:r w:rsidR="00EC7CBD">
        <w:t>/SEMAD</w:t>
      </w:r>
      <w:r w:rsidRPr="00FC3D45">
        <w:t xml:space="preserve"> respondeu que não, considerando que a avaliação é realizada por meio de autoavaliação, embora tenha havido investimento efetivo.</w:t>
      </w:r>
      <w:r w:rsidR="00EC7CBD">
        <w:t xml:space="preserve"> </w:t>
      </w:r>
      <w:r w:rsidRPr="00FC3D45">
        <w:t>Alan</w:t>
      </w:r>
      <w:r w:rsidR="00EC7CBD">
        <w:t>/SEMAD</w:t>
      </w:r>
      <w:r w:rsidRPr="00FC3D45">
        <w:t xml:space="preserve"> informou que existe perspectiva de ampliação do monitoramento por meio de parceria com o Comitê da Bacia do Paranaíba, com previsão de instalação de estações meteorológicas, cada uma estimada em aproximadamente R$ 100 mil. Informou ainda que já existem recursos arrecadados destinados a esses investimentos e que o PROGESTÃO possui lacunas que poderão ser supridas por essa iniciativa, permitindo ao Estado significativo avanço no monitoramento em prazo aproximado de um ano.</w:t>
      </w:r>
      <w:r w:rsidR="00EC7CBD">
        <w:t xml:space="preserve"> </w:t>
      </w:r>
      <w:r w:rsidRPr="00FC3D45">
        <w:t>Wilson</w:t>
      </w:r>
      <w:r w:rsidR="00EC7CBD">
        <w:t>/</w:t>
      </w:r>
      <w:r w:rsidRPr="00FC3D45">
        <w:t>AMAT-GO comentou que tinha a percepção de que tais investimentos estavam restritos ao Paranaíba. Fabrício</w:t>
      </w:r>
      <w:r w:rsidR="00EC7CBD">
        <w:t>/SEMAD</w:t>
      </w:r>
      <w:r w:rsidRPr="00FC3D45">
        <w:t xml:space="preserve"> esclareceu que os investimentos abrangem todo o Estado.</w:t>
      </w:r>
      <w:r w:rsidR="00EC7CBD">
        <w:t xml:space="preserve"> </w:t>
      </w:r>
      <w:r w:rsidRPr="00FC3D45">
        <w:t>Wilson/AMAT-GO questionou ainda os valores aplicados em outorga e recursos hídricos, especialmente relacionados ao Sistema Veredas. Alan</w:t>
      </w:r>
      <w:r w:rsidR="00EC7CBD">
        <w:t>/SEMAD</w:t>
      </w:r>
      <w:r w:rsidRPr="00FC3D45">
        <w:t xml:space="preserve"> esclareceu que os recursos apresentados não decorrem de fundos específicos, tratando-se de fonte distinta de financiamento.</w:t>
      </w:r>
    </w:p>
    <w:p w14:paraId="392A596D" w14:textId="77D7FCBA" w:rsidR="00FC3D45" w:rsidRPr="00FC3D45" w:rsidRDefault="00FC3D45" w:rsidP="00FC3D45">
      <w:pPr>
        <w:jc w:val="both"/>
      </w:pPr>
      <w:r w:rsidRPr="00FC3D45">
        <w:lastRenderedPageBreak/>
        <w:t>José Bento da Rocha/SEMAD complementou informando que a SEMAD possuía obrigação mínima de investimento de R$ 80 mil, porém realizou investimento aproximado de R$ 5 milhões.</w:t>
      </w:r>
      <w:r w:rsidR="00EC7CBD">
        <w:t xml:space="preserve"> </w:t>
      </w:r>
      <w:r w:rsidRPr="00FC3D45">
        <w:t>Mário/SANEAGO observou que, conforme material encaminhado previamente, ainda existem mais de R$ 2 milhões do PROGESTÃO a serem aplicados, questionando qual seria a principal dificuldade para utilização desses recursos.</w:t>
      </w:r>
      <w:r w:rsidR="00EC7CBD">
        <w:t xml:space="preserve"> </w:t>
      </w:r>
      <w:r w:rsidRPr="00FC3D45">
        <w:t>Alan</w:t>
      </w:r>
      <w:r w:rsidR="00EC7CBD">
        <w:t>/SEMAD</w:t>
      </w:r>
      <w:r w:rsidRPr="00FC3D45">
        <w:t xml:space="preserve"> respondeu que não existe dificuldade operacional, mas que foram adotadas estratégias específicas de aplicação, havendo previsão de utilização dos recursos principalmente para aquisição de estações e instalação de equipamentos.</w:t>
      </w:r>
    </w:p>
    <w:p w14:paraId="0BF5101C" w14:textId="1C467AD6" w:rsidR="00170D5D" w:rsidRPr="00170D5D" w:rsidRDefault="00FC3D45" w:rsidP="00170D5D">
      <w:pPr>
        <w:jc w:val="both"/>
      </w:pPr>
      <w:r w:rsidRPr="00FC3D45">
        <w:t>Mário/SANEAGO questionou se o funcionamento se assemelharia a um fundo rotativo. José Bento da Rocha/SEMAD respondeu negativamente. Fabrício</w:t>
      </w:r>
      <w:r w:rsidR="00EC7CBD">
        <w:t>/SEMAD</w:t>
      </w:r>
      <w:r w:rsidRPr="00FC3D45">
        <w:t xml:space="preserve"> esclareceu que os recursos pertencem à própria SEMAD.</w:t>
      </w:r>
      <w:r w:rsidR="00EC7CBD">
        <w:t xml:space="preserve"> </w:t>
      </w:r>
      <w:r w:rsidRPr="00FC3D45">
        <w:t>Alan</w:t>
      </w:r>
      <w:r w:rsidR="00EC7CBD">
        <w:t>/SEMAD</w:t>
      </w:r>
      <w:r w:rsidRPr="00FC3D45">
        <w:t xml:space="preserve"> informou ainda que a SEMAD enfrenta atraso de aproximadamente um ano no recebimento dos recursos em razão do contingenciamento promovido pela ANA.</w:t>
      </w:r>
      <w:r w:rsidR="00EC7CBD">
        <w:t xml:space="preserve"> </w:t>
      </w:r>
      <w:r w:rsidRPr="00FC3D45">
        <w:t>Ana</w:t>
      </w:r>
      <w:r w:rsidR="00EC7CBD">
        <w:t>/SEMAD</w:t>
      </w:r>
      <w:r w:rsidRPr="00FC3D45">
        <w:t xml:space="preserve"> informou que o Comitê AGORA já foi incluído como prioridade para recebimento desses recursos.</w:t>
      </w:r>
      <w:r w:rsidR="00EC7CBD">
        <w:t xml:space="preserve"> </w:t>
      </w:r>
      <w:r w:rsidRPr="00FC3D45">
        <w:t xml:space="preserve">Marcos/ABRH comentou sobre a terminologia utilizada para rede de monitoramento, afirmando que a expressão “rede </w:t>
      </w:r>
      <w:r w:rsidR="00EC7CBD" w:rsidRPr="00FC3D45">
        <w:t>hidro meteorológica</w:t>
      </w:r>
      <w:r w:rsidRPr="00FC3D45">
        <w:t>” estaria inadequada, sendo mais correto utilizar o termo “estações”, considerando a realidade do Estado de Goiás. Também questionou sobre as análises realizadas acerca da qualidade da água.</w:t>
      </w:r>
      <w:r w:rsidR="00EC7CBD">
        <w:t xml:space="preserve"> </w:t>
      </w:r>
      <w:r w:rsidRPr="00FC3D45">
        <w:t>Fabrício</w:t>
      </w:r>
      <w:r w:rsidR="00EC7CBD">
        <w:t>/SEMAD</w:t>
      </w:r>
      <w:r w:rsidRPr="00FC3D45">
        <w:t xml:space="preserve"> respondeu que existem centros de pesquisa no Estado responsáveis por estudos relacionados à água.</w:t>
      </w:r>
      <w:r w:rsidR="00EC7CBD">
        <w:t xml:space="preserve"> </w:t>
      </w:r>
      <w:r w:rsidRPr="00FC3D45">
        <w:t>Ao final, José Bento da Rocha/SEMAD informou que a apresentação seria deliberada e aprovada na forma de resolução. O item foi colocado em votação, sendo aprovado.</w:t>
      </w:r>
      <w:r w:rsidR="00170D5D">
        <w:t xml:space="preserve"> </w:t>
      </w:r>
      <w:r w:rsidR="00170D5D" w:rsidRPr="00170D5D">
        <w:rPr>
          <w:b/>
          <w:bCs/>
        </w:rPr>
        <w:t>Item 6 –</w:t>
      </w:r>
      <w:r w:rsidR="00170D5D" w:rsidRPr="00170D5D">
        <w:t xml:space="preserve"> O item foi apresentado por André/SEMAD, que contextualizou a situação do empreendimento, informando que este seria instalado no Rio Caiapó, local onde já existem quatro empreendimentos já construídos. Relatou que foi realizada avaliação técnica da disponibilidade hídrica, concluindo não haver óbice relacionado à disponibilidade hídrica, efeitos complicadores ou restrições para a localidade.</w:t>
      </w:r>
      <w:r w:rsidR="00170D5D">
        <w:t xml:space="preserve"> </w:t>
      </w:r>
      <w:r w:rsidR="00170D5D" w:rsidRPr="00170D5D">
        <w:t xml:space="preserve">Esclareceu, contudo, que a prorrogação </w:t>
      </w:r>
      <w:proofErr w:type="gramStart"/>
      <w:r w:rsidR="00170D5D" w:rsidRPr="00170D5D">
        <w:t>encontra-se</w:t>
      </w:r>
      <w:proofErr w:type="gramEnd"/>
      <w:r w:rsidR="00170D5D" w:rsidRPr="00170D5D">
        <w:t xml:space="preserve"> regulamentada pela Resolução nº 166, sendo sua liberação condicionada à avaliação da robustez da justificativa apresentada para o fato de o empreendimento ainda não ter sido instalado.</w:t>
      </w:r>
    </w:p>
    <w:p w14:paraId="5377BC77" w14:textId="1D08FF35" w:rsidR="00170D5D" w:rsidRPr="00170D5D" w:rsidRDefault="00170D5D" w:rsidP="00170D5D">
      <w:pPr>
        <w:jc w:val="both"/>
      </w:pPr>
      <w:r>
        <w:t>Sevan</w:t>
      </w:r>
      <w:r w:rsidRPr="00170D5D">
        <w:t xml:space="preserve"> Naves contextualizou que foi realizado inventário hidrelétrico da região, além de mencionar o contexto histórico do setor energético no país. Informou que a PCH Mosquitão foi uma das pioneiras da região e que, a partir do inventário, foram definidos três projetos no Rio Caiapó: Jacaré, Mosquitão e Santo Antônio. Explicou que, em termos hídricos e geológicos, o Rio Caiapó atravessa região de granito e arenito, sendo a atividade hidrelétrica relevante para a dinâmica socioeconômica local.</w:t>
      </w:r>
    </w:p>
    <w:p w14:paraId="6211F3CC" w14:textId="609B4F03" w:rsidR="00170D5D" w:rsidRPr="00170D5D" w:rsidRDefault="00170D5D" w:rsidP="00170D5D">
      <w:pPr>
        <w:jc w:val="both"/>
      </w:pPr>
      <w:r w:rsidRPr="00170D5D">
        <w:t>Solicitou anuência para prorrogação do prazo, justificando que o Governo Federal ainda não realizou novo leilão de energia. Comentou também sobre o papel estratégico das hidrelétricas como forma de armazenamento energético. Informou que inicialmente estavam previstos cinco empreendimentos no projeto, dos quais quatro já foram construídos, e que o investimento estimado atualmente é de aproximadamente R$ 300 milhões. Acrescentou que já existe previsão de realização de novo leilão.</w:t>
      </w:r>
      <w:r>
        <w:t xml:space="preserve"> Sevan</w:t>
      </w:r>
      <w:r w:rsidRPr="00170D5D">
        <w:t xml:space="preserve"> Naves observou ainda que as PCHs vêm sendo frequentemente criticadas, mencionando discussões ocorridas em Brasília acerca da prorrogação de usinas térmicas e movidas </w:t>
      </w:r>
      <w:r w:rsidRPr="00170D5D">
        <w:lastRenderedPageBreak/>
        <w:t>a diesel. Manifestou o desejo de que o empreendimento já estivesse em operação, especialmente para auxiliar no enfrentamento da crise energética nos horários de maior demanda, sobretudo após as 16h.</w:t>
      </w:r>
      <w:r>
        <w:t xml:space="preserve"> </w:t>
      </w:r>
      <w:r w:rsidRPr="00170D5D">
        <w:t xml:space="preserve">José Bento da Rocha/SEMAD questionou André/SEMAD sobre a possibilidade de a prorrogação ocorrer por igual período e perguntou a </w:t>
      </w:r>
      <w:r>
        <w:t>Sevan</w:t>
      </w:r>
      <w:r w:rsidRPr="00170D5D">
        <w:t xml:space="preserve"> Naves qual o prazo solicitado. André respondeu que o prazo poderia ser prorrogado mediante manifestação do Conselho. </w:t>
      </w:r>
      <w:r>
        <w:t>Sevan</w:t>
      </w:r>
      <w:r w:rsidRPr="00170D5D">
        <w:t xml:space="preserve"> Naves informou que o pedido seria de prorrogação por 4 anos.</w:t>
      </w:r>
      <w:r>
        <w:t xml:space="preserve"> </w:t>
      </w:r>
      <w:r w:rsidRPr="00170D5D">
        <w:t xml:space="preserve">Antônio/CELG GT questionou se o empreendimento já possuía outorga, DRDH e licenciamento ambiental. A representante do empreendimento Jacaré informou que os processos </w:t>
      </w:r>
      <w:r w:rsidRPr="00170D5D">
        <w:t>se encontram</w:t>
      </w:r>
      <w:r w:rsidRPr="00170D5D">
        <w:t xml:space="preserve"> em renovação. José Bento da Rocha/SEMAD observou que se trata de nova Licença Prévia – LP. Antônio/CELG GT destacou que atualmente a LP deve estar acompanhada da DRDH.</w:t>
      </w:r>
    </w:p>
    <w:p w14:paraId="1C406B60" w14:textId="034953B7" w:rsidR="00170D5D" w:rsidRPr="00170D5D" w:rsidRDefault="00170D5D" w:rsidP="00170D5D">
      <w:pPr>
        <w:jc w:val="both"/>
      </w:pPr>
      <w:r w:rsidRPr="00170D5D">
        <w:t xml:space="preserve">Guilherme </w:t>
      </w:r>
      <w:proofErr w:type="spellStart"/>
      <w:r w:rsidRPr="00170D5D">
        <w:t>Dall’Agnol</w:t>
      </w:r>
      <w:proofErr w:type="spellEnd"/>
      <w:r w:rsidRPr="00170D5D">
        <w:t>/CREA manifestou-se favoravelmente à prorrogação, ressaltando que indeferir o pedido implicaria reiniciar integralmente um processo já iniciado. Destacou que André/SEMAD já havia informado inexistirem óbices técnicos e considerou que o empreendedor estaria agindo de boa-fé ao solicitar formalmente a prorrogação.</w:t>
      </w:r>
      <w:r>
        <w:t xml:space="preserve"> </w:t>
      </w:r>
      <w:r w:rsidRPr="00170D5D">
        <w:t>Elaine/FIEG também se manifestou favoravelmente, especialmente em razão da disponibilidade hídrica constatada.</w:t>
      </w:r>
      <w:r>
        <w:t xml:space="preserve"> </w:t>
      </w:r>
      <w:r w:rsidRPr="00170D5D">
        <w:t>Cíntia observou que já existe projeto aprovado e Licença Prévia emitida.</w:t>
      </w:r>
      <w:r>
        <w:t xml:space="preserve"> </w:t>
      </w:r>
      <w:r w:rsidRPr="00170D5D">
        <w:t>André/SEMAD esclareceu que a análise técnica não avalia alterações substanciais do projeto naquele momento e questionou se houve alguma modificação decorrente de questões econômicas ou alteração de arranjo técnico. Explicou que novos processos demandam nova análise integral, diferentemente de processos já iniciados e prorrogados anteriormente.</w:t>
      </w:r>
      <w:r>
        <w:t xml:space="preserve"> Sevan</w:t>
      </w:r>
      <w:r w:rsidRPr="00170D5D">
        <w:t xml:space="preserve"> Naves respondeu que não houve alterações no projeto. Antônio/CELG GT destacou ser importante que o Conselho tivesse ciência formal dessa informação.</w:t>
      </w:r>
      <w:r>
        <w:t xml:space="preserve"> </w:t>
      </w:r>
      <w:r w:rsidRPr="00170D5D">
        <w:t xml:space="preserve">Flávio /Fundação César </w:t>
      </w:r>
      <w:proofErr w:type="spellStart"/>
      <w:r w:rsidRPr="00170D5D">
        <w:t>Baiocchi</w:t>
      </w:r>
      <w:proofErr w:type="spellEnd"/>
      <w:r w:rsidRPr="00170D5D">
        <w:t xml:space="preserve"> comentou que, em razão da rigidez técnica inerente ao projeto hidrelétrico, não haveria margem significativa para alterações substanciais. Questionou novamente sobre o prazo e se o empreendimento conseguiria obter todas as licenças necessárias dentro do período solicitado, indagando ainda se esta seria a última solicitação de prorrogação.</w:t>
      </w:r>
    </w:p>
    <w:p w14:paraId="1AA91265" w14:textId="3CCADE90" w:rsidR="00170D5D" w:rsidRPr="00170D5D" w:rsidRDefault="00170D5D" w:rsidP="00170D5D">
      <w:pPr>
        <w:jc w:val="both"/>
      </w:pPr>
      <w:r>
        <w:t>Sevan</w:t>
      </w:r>
      <w:r w:rsidRPr="00170D5D">
        <w:t xml:space="preserve"> Naves respondeu que o empreendimento aguarda a realização do próximo leilão de energia.</w:t>
      </w:r>
      <w:r>
        <w:t xml:space="preserve"> </w:t>
      </w:r>
      <w:r w:rsidRPr="00170D5D">
        <w:t>Natália/</w:t>
      </w:r>
      <w:r>
        <w:t>SEMAD</w:t>
      </w:r>
      <w:r w:rsidRPr="00170D5D">
        <w:t xml:space="preserve"> questionou acerca da renovação da LP do empreendimento Ipê e sugeriu a André/SEMAD que fosse vinculado ao processo relatório comprovando a inexistência de alterações no projeto.</w:t>
      </w:r>
      <w:r>
        <w:t xml:space="preserve"> </w:t>
      </w:r>
      <w:r w:rsidRPr="00170D5D">
        <w:t xml:space="preserve">Aurélio/IRRIGO perguntou se existem famílias residentes nas proximidades do empreendimento. </w:t>
      </w:r>
      <w:r>
        <w:t>Sevan</w:t>
      </w:r>
      <w:r w:rsidRPr="00170D5D">
        <w:t xml:space="preserve"> Naves respondeu que já estão comprovadas aquisições correspondentes a aproximadamente 50% das propriedades situadas na área do reservatório.</w:t>
      </w:r>
      <w:r>
        <w:t xml:space="preserve"> </w:t>
      </w:r>
      <w:r w:rsidRPr="00170D5D">
        <w:t xml:space="preserve">Flávio/Fundação César </w:t>
      </w:r>
      <w:proofErr w:type="spellStart"/>
      <w:r w:rsidRPr="00170D5D">
        <w:t>Baiocchi</w:t>
      </w:r>
      <w:proofErr w:type="spellEnd"/>
      <w:r w:rsidRPr="00170D5D">
        <w:t xml:space="preserve"> questionou sobre os custos relacionados aos estudos socioambientais e à implantação do empreendimento. </w:t>
      </w:r>
      <w:r>
        <w:t>Sevan</w:t>
      </w:r>
      <w:r w:rsidRPr="00170D5D">
        <w:t xml:space="preserve"> Naves informou que o projeto demandará investimento total aproximado de R$ 300 milhões.</w:t>
      </w:r>
      <w:r>
        <w:t xml:space="preserve"> </w:t>
      </w:r>
      <w:r w:rsidRPr="00170D5D">
        <w:t xml:space="preserve">Rodrigo/SEMAD perguntou sobre a previsão de realização do leilão. </w:t>
      </w:r>
      <w:r>
        <w:t>Sevan</w:t>
      </w:r>
      <w:r w:rsidRPr="00170D5D">
        <w:t xml:space="preserve"> Naves respondeu que não existe certeza quanto ao prazo, embora já haja previsão de realização futura. Rodrigo/SEMAD questionou ainda se o empreendimento conseguiria ser instalado dentro do prazo de 4 anos solicitado para prorrogação.</w:t>
      </w:r>
      <w:r>
        <w:t xml:space="preserve"> </w:t>
      </w:r>
      <w:r w:rsidRPr="00170D5D">
        <w:t xml:space="preserve">Wilson/AMAT-GO dirigiu-se a </w:t>
      </w:r>
      <w:r>
        <w:t>Sevan</w:t>
      </w:r>
      <w:r w:rsidRPr="00170D5D">
        <w:t xml:space="preserve"> Naves observando que nem todos compreendem as etapas relacionadas a barramentos, ressaltando que, para realização de estudos no trecho do </w:t>
      </w:r>
      <w:r w:rsidRPr="00170D5D">
        <w:lastRenderedPageBreak/>
        <w:t xml:space="preserve">barramento, é necessária autorização da ANEEL. </w:t>
      </w:r>
      <w:r>
        <w:t>Sevan</w:t>
      </w:r>
      <w:r w:rsidRPr="00170D5D">
        <w:t xml:space="preserve"> confirmou a informação.</w:t>
      </w:r>
      <w:r>
        <w:t xml:space="preserve"> </w:t>
      </w:r>
      <w:r w:rsidRPr="00170D5D">
        <w:t xml:space="preserve">Na sequência, </w:t>
      </w:r>
      <w:r>
        <w:t>Sevan</w:t>
      </w:r>
      <w:r w:rsidRPr="00170D5D">
        <w:t xml:space="preserve"> Naves explicou aspectos relacionados à concessão de energia, afirmando que, havendo necessidade energética, o Governo Federal poderá adquirir a energia produzida.</w:t>
      </w:r>
      <w:r>
        <w:t xml:space="preserve"> </w:t>
      </w:r>
      <w:r w:rsidRPr="00170D5D">
        <w:t>Antônio/CELG GT explicou o fluxo regulatório aplicável ao setor hidrelétrico, esclarecendo que inicialmente é necessária autorização para estudo do rio; posteriormente realiza-se o inventário hidrelétrico; em seguida a ANEEL analisa o inventário; depois ocorre a avaliação dos impactos socioambientais; após aprovação do inventário e dos aproveitamentos hidrelétricos, apresenta-se o projeto específico do empreendimento, com posterior solicitação de licenciamento ambiental e outorga de uso da água. Explicou ainda que, com projeto aprovado, licença ambiental e outorga concedidos, o empreendedor torna-se apto a comercializar energia por meio dos leilões.</w:t>
      </w:r>
    </w:p>
    <w:p w14:paraId="045FFF61" w14:textId="519B28A0" w:rsidR="00170D5D" w:rsidRPr="00170D5D" w:rsidRDefault="00170D5D" w:rsidP="00170D5D">
      <w:pPr>
        <w:jc w:val="both"/>
      </w:pPr>
      <w:r w:rsidRPr="00170D5D">
        <w:t xml:space="preserve">Wilson/AMAT-GO questionou qual seria a previsão de retorno financeiro considerando investimento estimado em R$ 300 milhões. </w:t>
      </w:r>
      <w:r>
        <w:t>Sevan</w:t>
      </w:r>
      <w:r w:rsidRPr="00170D5D">
        <w:t xml:space="preserve"> Naves respondeu que a expectativa de retorno seria de aproximadamente 4 anos.</w:t>
      </w:r>
      <w:r>
        <w:t xml:space="preserve"> </w:t>
      </w:r>
      <w:r w:rsidRPr="00170D5D">
        <w:t xml:space="preserve">Ana, representante do empreendimento Jacaré, apresentou dados do empreendimento, destacando previsão de geração de aproximadamente 380 empregos durante a fase de construção. Wilson/AMAT-GO questionou sobre a geração de empregos após a conclusão das </w:t>
      </w:r>
      <w:proofErr w:type="spellStart"/>
      <w:proofErr w:type="gramStart"/>
      <w:r w:rsidRPr="00170D5D">
        <w:t>obras.Guilherme</w:t>
      </w:r>
      <w:proofErr w:type="spellEnd"/>
      <w:proofErr w:type="gramEnd"/>
      <w:r w:rsidRPr="00170D5D">
        <w:t xml:space="preserve"> /CREA perguntou quanto tempo costuma durar a análise desse tipo de projeto. André/SEMAD respondeu que o prazo depende de diversas variáveis técnicas e administrativas.</w:t>
      </w:r>
      <w:r w:rsidR="004409C2">
        <w:t xml:space="preserve"> </w:t>
      </w:r>
      <w:r w:rsidRPr="00170D5D">
        <w:t>José Bento da Rocha/SEMAD informou que atualmente existe pedido de LP em andamento, mas que ainda há necessidade de obtenção da DRDH. Em seguida, colocou o item em votação.</w:t>
      </w:r>
      <w:r w:rsidR="004409C2">
        <w:t xml:space="preserve"> </w:t>
      </w:r>
      <w:r w:rsidRPr="00170D5D">
        <w:t>O Item 6 foi aprovado por unanimidade, ficando estabelecido que esta será a última prorrogação concedida ao empreendimento, pelo prazo de 4 anos.</w:t>
      </w:r>
      <w:r w:rsidR="004409C2">
        <w:t xml:space="preserve"> </w:t>
      </w:r>
      <w:r w:rsidRPr="00170D5D">
        <w:rPr>
          <w:b/>
          <w:bCs/>
        </w:rPr>
        <w:t>Em tribuna livre</w:t>
      </w:r>
      <w:r w:rsidRPr="00170D5D">
        <w:t>, ocorreu assinatura do termo de posse do AGITOS.</w:t>
      </w:r>
    </w:p>
    <w:p w14:paraId="47C3CCA7" w14:textId="62089731" w:rsidR="001719A3" w:rsidRDefault="00170D5D" w:rsidP="004409C2">
      <w:pPr>
        <w:jc w:val="both"/>
      </w:pPr>
      <w:r w:rsidRPr="00170D5D">
        <w:t>Wilson de Azevedo Filho/AMAT-GO questionou sobre a emissão dos boletos de cobrança pela AGEVAP, informando que os documentos foram emitidos com prazo de 60 dias para pagamento.</w:t>
      </w:r>
      <w:r w:rsidR="004409C2">
        <w:t xml:space="preserve"> </w:t>
      </w:r>
      <w:r w:rsidRPr="00170D5D">
        <w:t>Antônio/CELG GT comentou sobre a contratação da rede de monitoramento. José Bento da Rocha/SEMAD esclareceu que atualmente há empresa responsável pela manutenção da rede.</w:t>
      </w:r>
    </w:p>
    <w:sectPr w:rsidR="001719A3" w:rsidSect="00ED2E40">
      <w:headerReference w:type="default" r:id="rId6"/>
      <w:pgSz w:w="11906" w:h="16838"/>
      <w:pgMar w:top="1417" w:right="1701" w:bottom="1417"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02ACD" w14:textId="77777777" w:rsidR="00434251" w:rsidRDefault="00434251" w:rsidP="00434251">
      <w:pPr>
        <w:spacing w:line="240" w:lineRule="auto"/>
      </w:pPr>
      <w:r>
        <w:separator/>
      </w:r>
    </w:p>
  </w:endnote>
  <w:endnote w:type="continuationSeparator" w:id="0">
    <w:p w14:paraId="612ADFC3" w14:textId="77777777" w:rsidR="00434251" w:rsidRDefault="00434251" w:rsidP="004342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491DD" w14:textId="77777777" w:rsidR="00434251" w:rsidRDefault="00434251" w:rsidP="00434251">
      <w:pPr>
        <w:spacing w:line="240" w:lineRule="auto"/>
      </w:pPr>
      <w:r>
        <w:separator/>
      </w:r>
    </w:p>
  </w:footnote>
  <w:footnote w:type="continuationSeparator" w:id="0">
    <w:p w14:paraId="78DDB547" w14:textId="77777777" w:rsidR="00434251" w:rsidRDefault="00434251" w:rsidP="0043425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5343D" w14:textId="1A1D5837" w:rsidR="00434251" w:rsidRDefault="00434251" w:rsidP="00434251">
    <w:pPr>
      <w:pStyle w:val="Cabealho"/>
      <w:jc w:val="center"/>
    </w:pPr>
    <w:r w:rsidRPr="002A21ED">
      <w:rPr>
        <w:noProof/>
      </w:rPr>
      <w:drawing>
        <wp:inline distT="0" distB="0" distL="0" distR="0" wp14:anchorId="72CE0062" wp14:editId="63F1979A">
          <wp:extent cx="2914650" cy="1339850"/>
          <wp:effectExtent l="0" t="0" r="0" b="0"/>
          <wp:docPr id="105610040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4650" cy="13398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DFB"/>
    <w:rsid w:val="00170D5D"/>
    <w:rsid w:val="001719A3"/>
    <w:rsid w:val="00206C9B"/>
    <w:rsid w:val="00416B9A"/>
    <w:rsid w:val="00434251"/>
    <w:rsid w:val="004409C2"/>
    <w:rsid w:val="005F1DFB"/>
    <w:rsid w:val="00682927"/>
    <w:rsid w:val="007F6045"/>
    <w:rsid w:val="008C65D7"/>
    <w:rsid w:val="00926EFB"/>
    <w:rsid w:val="00BD1800"/>
    <w:rsid w:val="00BD7781"/>
    <w:rsid w:val="00CA0183"/>
    <w:rsid w:val="00D81F53"/>
    <w:rsid w:val="00DB2269"/>
    <w:rsid w:val="00EC7CBD"/>
    <w:rsid w:val="00ED2E40"/>
    <w:rsid w:val="00F24B2D"/>
    <w:rsid w:val="00FC3D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BCEFC"/>
  <w15:chartTrackingRefBased/>
  <w15:docId w15:val="{105A3BF9-2915-4F07-96BC-5AEE8D58F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251"/>
    <w:pPr>
      <w:spacing w:after="0" w:line="276" w:lineRule="auto"/>
    </w:pPr>
    <w:rPr>
      <w:rFonts w:ascii="Arial" w:eastAsia="Arial" w:hAnsi="Arial" w:cs="Arial"/>
      <w:kern w:val="0"/>
      <w:sz w:val="22"/>
      <w:szCs w:val="22"/>
      <w:lang w:eastAsia="pt-BR"/>
      <w14:ligatures w14:val="none"/>
    </w:rPr>
  </w:style>
  <w:style w:type="paragraph" w:styleId="Ttulo1">
    <w:name w:val="heading 1"/>
    <w:basedOn w:val="Normal"/>
    <w:next w:val="Normal"/>
    <w:link w:val="Ttulo1Char"/>
    <w:uiPriority w:val="9"/>
    <w:qFormat/>
    <w:rsid w:val="005F1D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5F1D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5F1DF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5F1DF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5F1DF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5F1DF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5F1DF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5F1DF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5F1DFB"/>
    <w:pPr>
      <w:keepNext/>
      <w:keepLines/>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F1DFB"/>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5F1DFB"/>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5F1DFB"/>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5F1DFB"/>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5F1DFB"/>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5F1DFB"/>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5F1DFB"/>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5F1DFB"/>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5F1DFB"/>
    <w:rPr>
      <w:rFonts w:eastAsiaTheme="majorEastAsia" w:cstheme="majorBidi"/>
      <w:color w:val="272727" w:themeColor="text1" w:themeTint="D8"/>
    </w:rPr>
  </w:style>
  <w:style w:type="paragraph" w:styleId="Ttulo">
    <w:name w:val="Title"/>
    <w:basedOn w:val="Normal"/>
    <w:next w:val="Normal"/>
    <w:link w:val="TtuloChar"/>
    <w:uiPriority w:val="10"/>
    <w:qFormat/>
    <w:rsid w:val="005F1D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5F1DF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5F1DFB"/>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5F1DFB"/>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5F1DFB"/>
    <w:pPr>
      <w:spacing w:before="160"/>
      <w:jc w:val="center"/>
    </w:pPr>
    <w:rPr>
      <w:i/>
      <w:iCs/>
      <w:color w:val="404040" w:themeColor="text1" w:themeTint="BF"/>
    </w:rPr>
  </w:style>
  <w:style w:type="character" w:customStyle="1" w:styleId="CitaoChar">
    <w:name w:val="Citação Char"/>
    <w:basedOn w:val="Fontepargpadro"/>
    <w:link w:val="Citao"/>
    <w:uiPriority w:val="29"/>
    <w:rsid w:val="005F1DFB"/>
    <w:rPr>
      <w:i/>
      <w:iCs/>
      <w:color w:val="404040" w:themeColor="text1" w:themeTint="BF"/>
    </w:rPr>
  </w:style>
  <w:style w:type="paragraph" w:styleId="PargrafodaLista">
    <w:name w:val="List Paragraph"/>
    <w:basedOn w:val="Normal"/>
    <w:uiPriority w:val="34"/>
    <w:qFormat/>
    <w:rsid w:val="005F1DFB"/>
    <w:pPr>
      <w:ind w:left="720"/>
      <w:contextualSpacing/>
    </w:pPr>
  </w:style>
  <w:style w:type="character" w:styleId="nfaseIntensa">
    <w:name w:val="Intense Emphasis"/>
    <w:basedOn w:val="Fontepargpadro"/>
    <w:uiPriority w:val="21"/>
    <w:qFormat/>
    <w:rsid w:val="005F1DFB"/>
    <w:rPr>
      <w:i/>
      <w:iCs/>
      <w:color w:val="2F5496" w:themeColor="accent1" w:themeShade="BF"/>
    </w:rPr>
  </w:style>
  <w:style w:type="paragraph" w:styleId="CitaoIntensa">
    <w:name w:val="Intense Quote"/>
    <w:basedOn w:val="Normal"/>
    <w:next w:val="Normal"/>
    <w:link w:val="CitaoIntensaChar"/>
    <w:uiPriority w:val="30"/>
    <w:qFormat/>
    <w:rsid w:val="005F1D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5F1DFB"/>
    <w:rPr>
      <w:i/>
      <w:iCs/>
      <w:color w:val="2F5496" w:themeColor="accent1" w:themeShade="BF"/>
    </w:rPr>
  </w:style>
  <w:style w:type="character" w:styleId="RefernciaIntensa">
    <w:name w:val="Intense Reference"/>
    <w:basedOn w:val="Fontepargpadro"/>
    <w:uiPriority w:val="32"/>
    <w:qFormat/>
    <w:rsid w:val="005F1DFB"/>
    <w:rPr>
      <w:b/>
      <w:bCs/>
      <w:smallCaps/>
      <w:color w:val="2F5496" w:themeColor="accent1" w:themeShade="BF"/>
      <w:spacing w:val="5"/>
    </w:rPr>
  </w:style>
  <w:style w:type="paragraph" w:styleId="Cabealho">
    <w:name w:val="header"/>
    <w:basedOn w:val="Normal"/>
    <w:link w:val="CabealhoChar"/>
    <w:uiPriority w:val="99"/>
    <w:unhideWhenUsed/>
    <w:rsid w:val="00434251"/>
    <w:pPr>
      <w:tabs>
        <w:tab w:val="center" w:pos="4252"/>
        <w:tab w:val="right" w:pos="8504"/>
      </w:tabs>
      <w:spacing w:line="240" w:lineRule="auto"/>
    </w:pPr>
  </w:style>
  <w:style w:type="character" w:customStyle="1" w:styleId="CabealhoChar">
    <w:name w:val="Cabeçalho Char"/>
    <w:basedOn w:val="Fontepargpadro"/>
    <w:link w:val="Cabealho"/>
    <w:uiPriority w:val="99"/>
    <w:rsid w:val="00434251"/>
    <w:rPr>
      <w:rFonts w:ascii="Arial" w:eastAsia="Arial" w:hAnsi="Arial" w:cs="Arial"/>
      <w:kern w:val="0"/>
      <w:sz w:val="22"/>
      <w:szCs w:val="22"/>
      <w:lang w:eastAsia="pt-BR"/>
      <w14:ligatures w14:val="none"/>
    </w:rPr>
  </w:style>
  <w:style w:type="paragraph" w:styleId="Rodap">
    <w:name w:val="footer"/>
    <w:basedOn w:val="Normal"/>
    <w:link w:val="RodapChar"/>
    <w:uiPriority w:val="99"/>
    <w:unhideWhenUsed/>
    <w:rsid w:val="00434251"/>
    <w:pPr>
      <w:tabs>
        <w:tab w:val="center" w:pos="4252"/>
        <w:tab w:val="right" w:pos="8504"/>
      </w:tabs>
      <w:spacing w:line="240" w:lineRule="auto"/>
    </w:pPr>
  </w:style>
  <w:style w:type="character" w:customStyle="1" w:styleId="RodapChar">
    <w:name w:val="Rodapé Char"/>
    <w:basedOn w:val="Fontepargpadro"/>
    <w:link w:val="Rodap"/>
    <w:uiPriority w:val="99"/>
    <w:rsid w:val="00434251"/>
    <w:rPr>
      <w:rFonts w:ascii="Arial" w:eastAsia="Arial" w:hAnsi="Arial" w:cs="Arial"/>
      <w:kern w:val="0"/>
      <w:sz w:val="22"/>
      <w:szCs w:val="22"/>
      <w:lang w:eastAsia="pt-BR"/>
      <w14:ligatures w14:val="none"/>
    </w:rPr>
  </w:style>
  <w:style w:type="character" w:styleId="Nmerodelinha">
    <w:name w:val="line number"/>
    <w:basedOn w:val="Fontepargpadro"/>
    <w:uiPriority w:val="99"/>
    <w:semiHidden/>
    <w:unhideWhenUsed/>
    <w:rsid w:val="00416B9A"/>
  </w:style>
  <w:style w:type="paragraph" w:styleId="NormalWeb">
    <w:name w:val="Normal (Web)"/>
    <w:basedOn w:val="Normal"/>
    <w:uiPriority w:val="99"/>
    <w:semiHidden/>
    <w:unhideWhenUsed/>
    <w:rsid w:val="00DB226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10</Pages>
  <Words>5136</Words>
  <Characters>27739</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Rafaela Lopes Vieira De Almeida</dc:creator>
  <cp:keywords/>
  <dc:description/>
  <cp:lastModifiedBy>Rafaela Lopes Vieira De Almeida</cp:lastModifiedBy>
  <cp:revision>5</cp:revision>
  <dcterms:created xsi:type="dcterms:W3CDTF">2026-05-14T13:01:00Z</dcterms:created>
  <dcterms:modified xsi:type="dcterms:W3CDTF">2026-05-14T17:49:00Z</dcterms:modified>
</cp:coreProperties>
</file>