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PLANO DE COMUNICAÇÃO E CONSULTA</w:t>
      </w:r>
    </w:p>
    <w:p w:rsidR="00000000" w:rsidDel="00000000" w:rsidP="00000000" w:rsidRDefault="00000000" w:rsidRPr="00000000" w14:paraId="00000006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PROGRAMA DE </w:t>
      </w:r>
      <w:r w:rsidDel="00000000" w:rsidR="00000000" w:rsidRPr="00000000">
        <w:rPr>
          <w:b w:val="1"/>
          <w:bCs w:val="1"/>
          <w:i w:val="1"/>
          <w:iCs w:val="1"/>
          <w:sz w:val="36"/>
          <w:szCs w:val="36"/>
          <w:rtl w:val="0"/>
        </w:rPr>
        <w:t xml:space="preserve">COMPLIANCE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PÚBLICO MUNICIPAL</w:t>
      </w:r>
    </w:p>
    <w:p w:rsidR="00000000" w:rsidDel="00000000" w:rsidP="00000000" w:rsidRDefault="00000000" w:rsidRPr="00000000" w14:paraId="00000008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IMPLANTAÇÃO DO EIXO I – </w:t>
      </w:r>
      <w:r w:rsidDel="00000000" w:rsidR="00000000" w:rsidRPr="00000000">
        <w:rPr>
          <w:b w:val="1"/>
          <w:bCs w:val="1"/>
          <w:color w:val="ff0000"/>
          <w:sz w:val="36"/>
          <w:szCs w:val="36"/>
          <w:highlight w:val="yellow"/>
          <w:rtl w:val="0"/>
        </w:rPr>
        <w:t xml:space="preserve">GOVERNANÇA / GESTÃO DE RISCOS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57" w:before="57" w:lineRule="auto"/>
        <w:jc w:val="center"/>
        <w:rPr>
          <w:b w:val="1"/>
          <w:bCs w:val="1"/>
          <w:color w:val="c9211e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PREFEITURA MUNICIPAL DE </w:t>
      </w:r>
      <w:r w:rsidDel="00000000" w:rsidR="00000000" w:rsidRPr="00000000">
        <w:rPr>
          <w:b w:val="1"/>
          <w:bCs w:val="1"/>
          <w:color w:val="c9211e"/>
          <w:sz w:val="36"/>
          <w:szCs w:val="36"/>
          <w:highlight w:val="yellow"/>
          <w:rtl w:val="0"/>
        </w:rPr>
        <w:t xml:space="preserve">XXXXXXX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57" w:before="57" w:lineRule="auto"/>
        <w:jc w:val="center"/>
        <w:rPr>
          <w:b w:val="1"/>
          <w:bCs w:val="1"/>
          <w:color w:val="c9211e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57" w:before="57" w:lineRule="auto"/>
        <w:jc w:val="center"/>
        <w:rPr>
          <w:b w:val="1"/>
          <w:bCs w:val="1"/>
          <w:color w:val="c9211e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57" w:before="57" w:lineRule="auto"/>
        <w:jc w:val="center"/>
        <w:rPr>
          <w:b w:val="1"/>
          <w:bCs w:val="1"/>
          <w:color w:val="c9211e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57" w:before="57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57" w:before="57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57" w:before="57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57" w:before="57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57" w:before="57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57" w:before="57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57" w:before="57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57" w:before="57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57" w:before="57" w:lineRule="auto"/>
        <w:jc w:val="center"/>
        <w:rPr/>
      </w:pPr>
      <w:r w:rsidDel="00000000" w:rsidR="00000000" w:rsidRPr="00000000">
        <w:rPr>
          <w:b w:val="1"/>
          <w:bCs w:val="1"/>
          <w:color w:val="ff0000"/>
          <w:sz w:val="36"/>
          <w:szCs w:val="36"/>
          <w:highlight w:val="yellow"/>
          <w:rtl w:val="0"/>
        </w:rPr>
        <w:t xml:space="preserve">XXXXX (mês)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/ 202</w:t>
      </w:r>
      <w:r w:rsidDel="00000000" w:rsidR="00000000" w:rsidRPr="00000000">
        <w:rPr>
          <w:b w:val="1"/>
          <w:bCs w:val="1"/>
          <w:color w:val="ff0000"/>
          <w:sz w:val="36"/>
          <w:szCs w:val="36"/>
          <w:highlight w:val="yellow"/>
          <w:rtl w:val="0"/>
        </w:rPr>
        <w:t xml:space="preserve">X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SUMÁRIO</w:t>
      </w:r>
      <w:r w:rsidDel="00000000" w:rsidR="00000000" w:rsidRPr="00000000">
        <w:rPr>
          <w:rtl w:val="0"/>
        </w:rPr>
      </w:r>
    </w:p>
    <w:tbl>
      <w:tblPr>
        <w:tblStyle w:val="Table1"/>
        <w:tblW w:w="10206.0" w:type="dxa"/>
        <w:jc w:val="left"/>
        <w:tblInd w:w="55.0" w:type="dxa"/>
        <w:tblLayout w:type="fixed"/>
        <w:tblLook w:val="0400"/>
      </w:tblPr>
      <w:tblGrid>
        <w:gridCol w:w="1015"/>
        <w:gridCol w:w="8171"/>
        <w:gridCol w:w="1020"/>
        <w:tblGridChange w:id="0">
          <w:tblGrid>
            <w:gridCol w:w="1015"/>
            <w:gridCol w:w="8171"/>
            <w:gridCol w:w="10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Introdução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Público alvo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635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Objetivos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Comunicação e Consulta com as partes interessadas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57" w:line="276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Plano de Comunicação e Consulta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57" w:before="57" w:line="276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Programa de </w:t>
      </w: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Compliance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Público Municipal (PCM)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57" w:before="57" w:line="276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Implantação do eixo I – </w:t>
      </w:r>
      <w:r w:rsidDel="00000000" w:rsidR="00000000" w:rsidRPr="00000000">
        <w:rPr>
          <w:b w:val="1"/>
          <w:bCs w:val="1"/>
          <w:color w:val="ff0000"/>
          <w:sz w:val="24"/>
          <w:szCs w:val="24"/>
          <w:highlight w:val="yellow"/>
          <w:rtl w:val="0"/>
        </w:rPr>
        <w:t xml:space="preserve">Governança / Gestão de Riscos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7" w:before="57" w:line="276" w:lineRule="auto"/>
        <w:ind w:left="72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Introdução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Norma ABNT NBR ISO 31000:2018 estabelece que a etapa de “Comunicação e Consulta” consiste em um processo contínuo e iterativo que uma organização realiza para fornecer, compartilhar ou obter informações necessárias para dialogar com as partes interessadas, relacionadas com a gestão de riscos. A etapa de Comunicação e Consulta é parte integrante do processo de gerenciamento de riscos da ISO 31.000:2018, conforme Figura 1, a seguir: 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57" w:before="57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5983b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57" w:before="57" w:line="276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83b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83b0"/>
          <w:sz w:val="16"/>
          <w:szCs w:val="16"/>
          <w:u w:val="none"/>
          <w:shd w:fill="auto" w:val="clear"/>
          <w:vertAlign w:val="baseline"/>
          <w:rtl w:val="0"/>
        </w:rPr>
        <w:t xml:space="preserve">Figura 1: Processo de Gestão de Riscos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7" w:before="57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4130859" cy="3335852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30859" cy="33358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57" w:before="57" w:line="276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Comunicação envolve compartilhar informação com públicos-alvo, busca promover a conscientização e o entendimento do risco.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Consulta envolve o fornecimento de retorno pelos participantes, com a expectativa de que isto contribua para as decisões e sua formulação ou outras atividades.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Deve-se preocupar em reunir diferentes áreas de especialização para cada etapa do processo de gestão de riscos: elaboração do contexto, mapeamento e tratamento de riscos. Além disso, esse processo permite assegurar que pontos de vista diferentes sejam considerados apropriadamente ao se definirem critérios de risco e avaliarem riscos.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Todas essas ações contribuirão para a construção de um senso de inclusão e propriedade entre os afetados pelo risco.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Um dos principais benefícios alcançados por meio do plano de comunicação e consulta implantado e monitorado destaca-se o fornecimento de informações com maior qualidade para a supervisão dos riscos e a tomada de decisão.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Público alvo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Público interno – informar aos servidores, terceirizados e jovens aprendizes sobre a implantação e as principais atividades do processo de gerenciamento de riscos.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Público externo – levar ao conhecimento da sociedade as ações, avanços e resultados da implantação da gestão de riscos.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Objetivos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120" w:before="0" w:line="240" w:lineRule="auto"/>
        <w:ind w:left="0" w:right="0" w:firstLine="113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seguir estão listados alguns objetivos do Plano de Comunicação e Consulta na implantação da Gestão de Riscos: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57" w:before="57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57" w:before="57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83b0"/>
          <w:sz w:val="16"/>
          <w:szCs w:val="16"/>
          <w:u w:val="none"/>
          <w:shd w:fill="auto" w:val="clear"/>
          <w:vertAlign w:val="baseline"/>
          <w:rtl w:val="0"/>
        </w:rPr>
        <w:t xml:space="preserve">Figura 2: Processo de “Comunicação e Consulta” na Gestão de Riscos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5629910" cy="279146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9910" cy="2791460"/>
                          <a:chOff x="0" y="0"/>
                          <a:chExt cx="5629900" cy="2791450"/>
                        </a:xfrm>
                      </wpg:grpSpPr>
                      <wpg:grpSp>
                        <wpg:cNvGrpSpPr/>
                        <wpg:grpSpPr>
                          <a:xfrm>
                            <a:off x="-3154607" y="-485531"/>
                            <a:ext cx="8784507" cy="3762522"/>
                            <a:chOff x="-3154607" y="-485531"/>
                            <a:chExt cx="8784507" cy="376252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629900" cy="2791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-3154607" y="-485531"/>
                              <a:ext cx="3762522" cy="3762522"/>
                            </a:xfrm>
                            <a:prstGeom prst="blockArc">
                              <a:avLst>
                                <a:gd fmla="val 18900000" name="adj1"/>
                                <a:gd fmla="val 2700000" name="adj2"/>
                                <a:gd fmla="val 574" name="adj3"/>
                              </a:avLst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318868" y="214607"/>
                              <a:ext cx="5275952" cy="429438"/>
                            </a:xfrm>
                            <a:prstGeom prst="rect">
                              <a:avLst/>
                            </a:prstGeom>
                            <a:solidFill>
                              <a:srgbClr val="599BD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6" name="Shape 6"/>
                          <wps:spPr>
                            <a:xfrm>
                              <a:off x="318868" y="214607"/>
                              <a:ext cx="5275952" cy="4294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Reunir diferentes áreas de especialização para cada etapa do processo de gestão de riscos;</w:t>
                                </w:r>
                              </w:p>
                            </w:txbxContent>
                          </wps:txbx>
                          <wps:bodyPr anchorCtr="0" anchor="ctr" bIns="30475" lIns="340850" spcFirstLastPara="1" rIns="30475" wrap="square" tIns="3047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50470" y="160927"/>
                              <a:ext cx="536797" cy="536797"/>
                            </a:xfrm>
                            <a:prstGeom prst="ellipse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565075" y="858876"/>
                              <a:ext cx="5029746" cy="429438"/>
                            </a:xfrm>
                            <a:prstGeom prst="rect">
                              <a:avLst/>
                            </a:prstGeom>
                            <a:solidFill>
                              <a:srgbClr val="599BD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9" name="Shape 9"/>
                          <wps:spPr>
                            <a:xfrm>
                              <a:off x="565075" y="858876"/>
                              <a:ext cx="5029746" cy="4294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Assegurar que pontos de vista diferentes sejam considerados apropriadamente ao se definirem critérios de risco e ao se avaliarem riscos;</w:t>
                                </w:r>
                              </w:p>
                            </w:txbxContent>
                          </wps:txbx>
                          <wps:bodyPr anchorCtr="0" anchor="ctr" bIns="27925" lIns="340850" spcFirstLastPara="1" rIns="27925" wrap="square" tIns="27925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296676" y="805196"/>
                              <a:ext cx="536797" cy="536797"/>
                            </a:xfrm>
                            <a:prstGeom prst="ellipse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565075" y="1503145"/>
                              <a:ext cx="5029746" cy="429438"/>
                            </a:xfrm>
                            <a:prstGeom prst="rect">
                              <a:avLst/>
                            </a:prstGeom>
                            <a:solidFill>
                              <a:srgbClr val="599BD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12" name="Shape 12"/>
                          <wps:spPr>
                            <a:xfrm>
                              <a:off x="565075" y="1503145"/>
                              <a:ext cx="5029746" cy="4294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Fornecer informações suficientes para facilitar a supervisão dos riscos e a tomada de decisão;</w:t>
                                </w:r>
                              </w:p>
                            </w:txbxContent>
                          </wps:txbx>
                          <wps:bodyPr anchorCtr="0" anchor="ctr" bIns="27925" lIns="340850" spcFirstLastPara="1" rIns="27925" wrap="square" tIns="279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296676" y="1449465"/>
                              <a:ext cx="536797" cy="536797"/>
                            </a:xfrm>
                            <a:prstGeom prst="ellipse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>
                              <a:off x="318868" y="2147414"/>
                              <a:ext cx="5275952" cy="429438"/>
                            </a:xfrm>
                            <a:prstGeom prst="rect">
                              <a:avLst/>
                            </a:prstGeom>
                            <a:solidFill>
                              <a:srgbClr val="599BD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 txBox="1"/>
                          <wps:cNvPr id="15" name="Shape 15"/>
                          <wps:spPr>
                            <a:xfrm>
                              <a:off x="318868" y="2147414"/>
                              <a:ext cx="5275952" cy="4294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15.9999942779541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Construir um senso de inclusão e propriedade entre os afetados pelo risco;</w:t>
                                </w:r>
                              </w:p>
                            </w:txbxContent>
                          </wps:txbx>
                          <wps:bodyPr anchorCtr="0" anchor="ctr" bIns="27925" lIns="340850" spcFirstLastPara="1" rIns="27925" wrap="square" tIns="279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50470" y="2093734"/>
                              <a:ext cx="536797" cy="536797"/>
                            </a:xfrm>
                            <a:prstGeom prst="ellipse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629910" cy="2791460"/>
                <wp:effectExtent b="0" l="0" r="0" 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29910" cy="27914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57" w:before="57" w:line="360" w:lineRule="auto"/>
        <w:ind w:left="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  <w:tab w:val="left" w:leader="none" w:pos="1635"/>
        </w:tabs>
        <w:spacing w:after="0" w:before="120" w:line="240" w:lineRule="auto"/>
        <w:ind w:left="0" w:right="0" w:firstLine="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Comunicação e consulta com as partes interessadas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0" w:right="0" w:firstLine="1134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Definido o escopo do processo de gerenciamento de riscos segue-se o fluxo de comunicação e consulta. Abaixo temos sugestões de temas para a comunicação e consulta: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1440" w:right="0" w:hanging="36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Conceitos introdutórios sobre riscos e controles;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1440" w:right="0" w:hanging="36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Aspectos práticos da metodologia utilizada (ABNT NBR ISO 31000:2018), composições do comitê setorial e escritório de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normativos publicados, critérios adotados, etc.;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1440" w:right="0" w:hanging="36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Melhorias esperadas com a Gestão de Riscos;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1440" w:right="0" w:hanging="36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Boas práticas e exemplos a seguir em Gestão de Riscos;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1440" w:right="0" w:hanging="36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Nível de maturidade alcançado em Gestão de Riscos;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1440" w:right="0" w:hanging="36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Cursos gratuitos disponíveis em plataformas virtuais, sobre: Ética, Transparência, Ouvidoria, Gestão de Riscos, Licitações, Fiscalização de Contratos e Convênios, Folha de Pagamento, Orçamento Público, Planejamento Estratégico etc.;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1440" w:right="0" w:hanging="360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Respostas aos principais questionamentos recebidos pelos canais de e-mail e ouvidoria.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0" w:before="120" w:line="240" w:lineRule="auto"/>
        <w:ind w:left="0" w:right="0" w:firstLine="1134"/>
        <w:jc w:val="both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Outras sugestões de informações a serem comunicadas e consultas às partes interessadas na Tabela 1 abaixo: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72"/>
        </w:tabs>
        <w:spacing w:after="57" w:before="57" w:line="240" w:lineRule="auto"/>
        <w:ind w:left="0" w:right="0" w:firstLine="0"/>
        <w:jc w:val="center"/>
        <w:rPr>
          <w:rFonts w:ascii="Montserrat" w:cs="Montserrat" w:eastAsia="Montserrat" w:hAnsi="Montserra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bookmarkStart w:colFirst="0" w:colLast="0" w:name="_heading=h.f8n2cm3n1yz0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83b0"/>
          <w:sz w:val="16"/>
          <w:szCs w:val="16"/>
          <w:u w:val="none"/>
          <w:shd w:fill="auto" w:val="clear"/>
          <w:vertAlign w:val="baseline"/>
          <w:rtl w:val="0"/>
        </w:rPr>
        <w:t xml:space="preserve">Tabela 1 – Comunicação e Consulta com as Partes Interessadas</w:t>
      </w:r>
      <w:r w:rsidDel="00000000" w:rsidR="00000000" w:rsidRPr="00000000">
        <w:rPr>
          <w:rtl w:val="0"/>
        </w:rPr>
      </w:r>
    </w:p>
    <w:tbl>
      <w:tblPr>
        <w:tblStyle w:val="Table2"/>
        <w:tblW w:w="10027.0" w:type="dxa"/>
        <w:jc w:val="left"/>
        <w:tblInd w:w="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9"/>
        <w:gridCol w:w="1628"/>
        <w:gridCol w:w="1256"/>
        <w:gridCol w:w="2389"/>
        <w:gridCol w:w="1132"/>
        <w:gridCol w:w="1130"/>
        <w:gridCol w:w="1533"/>
        <w:tblGridChange w:id="0">
          <w:tblGrid>
            <w:gridCol w:w="959"/>
            <w:gridCol w:w="1628"/>
            <w:gridCol w:w="1256"/>
            <w:gridCol w:w="2389"/>
            <w:gridCol w:w="1132"/>
            <w:gridCol w:w="1130"/>
            <w:gridCol w:w="1533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gridSpan w:val="7"/>
            <w:shd w:fill="5b9bd5" w:val="clear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763"/>
                <w:tab w:val="left" w:leader="none" w:pos="3255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763"/>
                <w:tab w:val="left" w:leader="none" w:pos="3255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COMUNICAÇÃO E CONSULTA COM AS PARTES INTERESSADAS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763"/>
                <w:tab w:val="left" w:leader="none" w:pos="3255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28" w:hRule="atLeast"/>
          <w:tblHeader w:val="0"/>
        </w:trPr>
        <w:tc>
          <w:tcPr>
            <w:tcBorders>
              <w:right w:color="000000" w:space="0" w:sz="0" w:val="nil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850"/>
                <w:tab w:val="left" w:leader="none" w:pos="2036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SEQUÊNCIA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850"/>
                <w:tab w:val="left" w:leader="none" w:pos="2036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ETAPA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850"/>
                <w:tab w:val="left" w:leader="none" w:pos="2036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PÚBLICO-ALVO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850"/>
                <w:tab w:val="left" w:leader="none" w:pos="2036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(A quem se deve comunicar e/ou consultar)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FREQUÊNCIA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QUANDO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622"/>
              </w:tabs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RESPONSÁVEL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pela Comunicação e Consulta</w:t>
            </w:r>
          </w:p>
        </w:tc>
      </w:tr>
      <w:tr>
        <w:trPr>
          <w:cantSplit w:val="0"/>
          <w:trHeight w:val="1449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INSCRIÇÃO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EDITAL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do Programa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Público Municipal (PCM).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 também para a sociedade em geral.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PUBLICAÇÃO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Edital.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responsável pela inscrição.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4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ADESÃO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TERMO DE ADESÃO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município ao Edital do PCM.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DECRETO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de instituição do Comitê de Compliance Público Municipal (CCPM) e do Escritório de Compliance.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PORTARIA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de instituição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a todos os servidores da prefeitura, em especial aos das áreas dos escopos definidos para a implantação da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?”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PUBLICAÇÃO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termo de adesão, decretos e da portaria no diário oficial, site na internet e/ou mural.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ATIVIDADE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DECRETO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de instituição da Política de Gestão de Riscos e do Comitê Setorial.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a todos os servidores da prefeitura, em especial aos das áreas dos escopos definidos para a implantação da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mensagens avulsas ou periódicas com dicas e perguntas do tipo “Você sabia? ”, pílulas sobre “O que é 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?”</w:t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PUBLICAÇÃO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decreto no diário oficial, site na internet e/ou mural.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ATIVIDADE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CRONOGRAMA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das Atividades.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a todos os servidores da prefeitura, em especial aos das áreas dos escopos definidos para a implantação da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?”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Cronograma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pelo Comitê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ATIVIDADE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AUTOAVALIAÇÃO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Maturidade em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CONSULTAR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os servidores da prefeitura das áreas dos escopos definidos para implantação da gestão de riscos por meio de aplicação de questionário.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reunião.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ANUAL.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ANTES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aplicação do questionário.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em especial aos das áreas dos escopos definidos para a implantação da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Autoavaliação de Maturidade em Gestão de Riscos?”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ANUAL.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do resultado do questionário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pelo Comitê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ATIVIDADE</w:t>
            </w:r>
          </w:p>
        </w:tc>
        <w:tc>
          <w:tcPr>
            <w:vMerge w:val="restart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ESCOPO, CONTEXTO E CRITÉRIOS.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CONSULTAR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os servidores das áreas do escopo definidas para implantação da gestão de riscos e as partes interessadas 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steakholders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reunião, entrevista.</w:t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pedido formal de informação etc.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coleta de informação por meio de: checklist, workshop, brainstorming,  questionário etc.</w:t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em especial aos das áreas dos escopos para a implantação da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Escopo (área de implantação da gestão de riscos), Contexto (análise do ambiente e objetivos) e Critérios (níveis de riscos) ?”</w:t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Escopo pelo Comitê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983" w:hRule="atLeast"/>
          <w:tblHeader w:val="0"/>
        </w:trPr>
        <w:tc>
          <w:tcPr>
            <w:vMerge w:val="restart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ATIVIDADE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IDENTIFICAÇÃO DOS RISCOS.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CONSULTAR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os servidores das áreas do escopo definidas para implantação da gestão de riscos e as partes interessadas 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steakholders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reunião, entrevista.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pedido formal de informação etc.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coleta de informação por meio de: checklist, workshop, brainstorming,  questionário etc.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797" w:hRule="atLeast"/>
          <w:tblHeader w:val="0"/>
        </w:trPr>
        <w:tc>
          <w:tcPr>
            <w:vMerge w:val="continue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em especial aos das áreas dos escopos para a implantação da gestão de riscos.</w:t>
            </w:r>
          </w:p>
        </w:tc>
        <w:tc>
          <w:tcPr/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Processo de Avaliação de Riscos ?”</w:t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Identificação pelo Comitê Setorial.</w:t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vMerge w:val="restart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1185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ATIVIDADE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20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ANÁLISE DOS RISCOS.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CONSULTAR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os servidores das áreas do escopo definidas para implantação da gestão de riscos e as partes interessadas 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steakholders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reunião, entrevista.</w:t>
            </w:r>
          </w:p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pedido formal de informação etc.</w:t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coleta de informação por meio de: checklist, workshop, brainstorming,  questionário etc.</w:t>
            </w:r>
          </w:p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vMerge w:val="continue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em especial aos das áreas dos escopos para a implantação da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Processo de Avaliação de Riscos ?”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Análise pelo Comitê Setorial.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943" w:hRule="atLeast"/>
          <w:tblHeader w:val="0"/>
        </w:trPr>
        <w:tc>
          <w:tcPr>
            <w:vMerge w:val="restart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45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6">
            <w:pPr>
              <w:jc w:val="both"/>
              <w:rPr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bCs w:val="1"/>
                <w:sz w:val="14"/>
                <w:szCs w:val="14"/>
                <w:rtl w:val="0"/>
              </w:rPr>
              <w:t xml:space="preserve">ATIVIDADE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AVALIAÇÃO DOS RISCOS.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CONSULTAR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os servidores das áreas do escopo definidas para implantação da gestão de riscos e as partes interessadas 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steakholders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reunião, entrevista.</w:t>
            </w:r>
          </w:p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pedido formal de informação etc.</w:t>
            </w:r>
          </w:p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coleta de informação por meio de: checklist, workshop, brainstorming,  questionário etc.</w:t>
            </w:r>
          </w:p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943" w:hRule="atLeast"/>
          <w:tblHeader w:val="0"/>
        </w:trPr>
        <w:tc>
          <w:tcPr>
            <w:vMerge w:val="continue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em especial aos das áreas dos escopos para a implantação da gestão de riscos.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sobre “O que é o Processo de Avaliação de Riscos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?”</w:t>
            </w:r>
          </w:p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Avaliação pelo Comitê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943" w:hRule="atLeast"/>
          <w:tblHeader w:val="0"/>
        </w:trPr>
        <w:tc>
          <w:tcPr>
            <w:vMerge w:val="restart"/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69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jc w:val="both"/>
              <w:rPr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bCs w:val="1"/>
                <w:sz w:val="14"/>
                <w:szCs w:val="14"/>
                <w:rtl w:val="0"/>
              </w:rPr>
              <w:t xml:space="preserve">ATIVIDADE</w:t>
            </w:r>
          </w:p>
        </w:tc>
        <w:tc>
          <w:tcPr>
            <w:vMerge w:val="restart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6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b w:val="1"/>
                <w:bCs w:val="1"/>
                <w:sz w:val="14"/>
                <w:szCs w:val="14"/>
                <w:rtl w:val="0"/>
              </w:rPr>
              <w:t xml:space="preserve">TRATAMENTO DOS RISCOS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CONSULTAR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os servidores das áreas do escopo definidas para implantação da gestão de riscos e as partes interessadas 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steakholders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reunião, entrevista.</w:t>
            </w:r>
          </w:p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pedido formal de informação etc.</w:t>
            </w:r>
          </w:p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coleta de informação por meio de: checklist, workshop, brainstorming,  questionário etc.</w:t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2364" w:hRule="atLeast"/>
          <w:tblHeader w:val="0"/>
        </w:trPr>
        <w:tc>
          <w:tcPr>
            <w:vMerge w:val="continue"/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em especial aos das áreas dos escopos para a implantação da gestão de riscos.</w:t>
            </w:r>
          </w:p>
        </w:tc>
        <w:tc>
          <w:tcPr/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Processo de Avaliação de Riscos ?”</w:t>
            </w:r>
          </w:p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Tratamento pelo Comitê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vMerge w:val="restart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8D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jc w:val="both"/>
              <w:rPr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b w:val="1"/>
                <w:bCs w:val="1"/>
                <w:sz w:val="14"/>
                <w:szCs w:val="14"/>
                <w:rtl w:val="0"/>
              </w:rPr>
              <w:t xml:space="preserve">ATIVIDADE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8F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0">
            <w:pPr>
              <w:jc w:val="both"/>
              <w:rPr>
                <w:sz w:val="14"/>
                <w:szCs w:val="14"/>
              </w:rPr>
            </w:pPr>
            <w:r w:rsidDel="00000000" w:rsidR="00000000" w:rsidRPr="00000000">
              <w:rPr>
                <w:b w:val="1"/>
                <w:bCs w:val="1"/>
                <w:sz w:val="14"/>
                <w:szCs w:val="14"/>
                <w:rtl w:val="0"/>
              </w:rPr>
              <w:t xml:space="preserve">MONITORAMENTO DOS RISCOS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CONSULTAR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os servidores das áreas do escopo definidas para implantação da gestão de riscos e as partes interessadas 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steakholders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reunião, entrevista.</w:t>
            </w:r>
          </w:p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pedido formal de informação etc.</w:t>
            </w:r>
          </w:p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coleta de informação por meio de: checklist, workshop, brainstorming,  questionário etc.</w:t>
            </w:r>
          </w:p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CONFORME NECESSIDADE DE ATUALIZAÇÃO.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vMerge w:val="continue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 todos os servidores da prefeitura, em especial aos das áreas dos escopos para a implantação da gestão de riscos.</w:t>
            </w:r>
          </w:p>
        </w:tc>
        <w:tc>
          <w:tcPr/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“O que é o Processo de Monitoramento de Riscos ?”</w:t>
            </w:r>
          </w:p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Monitoramentopelo Comitê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ATIVIDADE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ENCERRAMENTO</w:t>
            </w:r>
          </w:p>
        </w:tc>
        <w:tc>
          <w:tcPr>
            <w:tcBorders>
              <w:top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  <w:tab w:val="left" w:leader="none" w:pos="2036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COMUNICAR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a todos os servidores da prefeitura, em especial aos das áreas dos escopos para a implantação da gestão de riscos.</w:t>
            </w:r>
          </w:p>
        </w:tc>
        <w:tc>
          <w:tcPr>
            <w:tcBorders>
              <w:top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INTERNAMENTE: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intranet; whatsapp, e-mail, ofício, mural, entrevista, reunião aberta com os servidores, etc.</w:t>
            </w:r>
          </w:p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EXTERNAMENTE: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página da prefeitura na internet, rede social, jornal, tele-rádiodifusão etc.</w:t>
            </w:r>
          </w:p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FORMA: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mensagens avulsas ou periódicas com dicas e perguntas do tipo “Você sabia? ”, pílulas sobre “A Prefeitura Municipal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c9211e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XXXXXX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conquistou o Sêlo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c9211e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XXXXX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em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?”</w:t>
            </w:r>
          </w:p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ÚNICA.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APÓS A VALIDAÇÃO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do Encerramento pelo Comitê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072"/>
              </w:tabs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SETOR DE COMUNICAÇÃO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da prefeitura divulga as informações recebidas do Escritório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Compliance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C5">
      <w:pPr>
        <w:shd w:fill="ffffff" w:val="clear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hd w:fill="ffffff" w:val="clear"/>
        <w:jc w:val="both"/>
        <w:rPr/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993" w:top="1191" w:left="850" w:right="85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beration Sans"/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okmarkStart w:colFirst="0" w:colLast="0" w:name="bookmark=id.ori3aocdc1wf" w:id="1"/>
  <w:bookmarkEnd w:id="1"/>
  <w:p w:rsidR="00000000" w:rsidDel="00000000" w:rsidP="00000000" w:rsidRDefault="00000000" w:rsidRPr="00000000" w14:paraId="000001C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/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__________________________________________________________________________________________________________________________________________________Prefeitura Municipal de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XXXXXXX (nome do município), Endereço XXXXXX (Avenida / Rua / Alameda)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nº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XXX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, Palácio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XXXXXX (nome do palácio)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,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XXXXXX (Bairro / Vila / Setor)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, </w:t>
    </w:r>
  </w:p>
  <w:p w:rsidR="00000000" w:rsidDel="00000000" w:rsidP="00000000" w:rsidRDefault="00000000" w:rsidRPr="00000000" w14:paraId="000001C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CEP: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XX.XXX-XXX, XXXXXX (Nome do município)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/ Estado de Goiás,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Telefone: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(XX) XXXX - XXXX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 / E-mail: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c9211e"/>
        <w:sz w:val="14"/>
        <w:szCs w:val="14"/>
        <w:u w:val="none"/>
        <w:shd w:fill="auto" w:val="clear"/>
        <w:vertAlign w:val="baseline"/>
        <w:rtl w:val="0"/>
      </w:rPr>
      <w:t xml:space="preserve">xxx@xxx.gov.br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LOGOTIPO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PREFEITURA MUNICIPAL DE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0"/>
        <w:szCs w:val="20"/>
        <w:u w:val="none"/>
        <w:shd w:fill="auto" w:val="clear"/>
        <w:vertAlign w:val="baseline"/>
        <w:rtl w:val="0"/>
      </w:rPr>
      <w:t xml:space="preserve">XXXXXXX</w:t>
      <w:br w:type="textWrapping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____________________________________________________________________________________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bCs w:val="1"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Zm6rgY9p9R7hXboY88TQ7o3upQ==">CgMxLjAyDmguZjhuMmNtM24xeXowMg9pZC5vcmkzYW9jZGMxd2Y4AHIhMWV3Rnh3N2JQOVVKSUJib1M1THVRR2xIaW9heUpWd2d4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