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E58B5" w:rsidP="67810944" w:rsidRDefault="002C74F9" w14:paraId="0481E3AC" w14:textId="44338D1F">
      <w:pPr>
        <w:widowControl w:val="0"/>
        <w:spacing w:before="179" w:line="240" w:lineRule="auto"/>
        <w:jc w:val="center"/>
        <w:rPr>
          <w:rFonts w:ascii="Times New Roman" w:hAnsi="Times New Roman" w:eastAsia="Times New Roman" w:cs="Times New Roman"/>
          <w:b w:val="1"/>
          <w:bCs w:val="1"/>
          <w:color w:val="000000"/>
          <w:sz w:val="28"/>
          <w:szCs w:val="28"/>
        </w:rPr>
      </w:pPr>
      <w:r w:rsidRPr="67810944" w:rsidR="502BEE94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8"/>
          <w:szCs w:val="28"/>
        </w:rPr>
        <w:t xml:space="preserve">Modelo de </w:t>
      </w:r>
      <w:r w:rsidRPr="67810944" w:rsidR="002C74F9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8"/>
          <w:szCs w:val="28"/>
        </w:rPr>
        <w:t xml:space="preserve">Portaria de Instauração de Tomada de Contas Especial  </w:t>
      </w:r>
    </w:p>
    <w:p w:rsidR="00FE58B5" w:rsidP="67810944" w:rsidRDefault="002C74F9" w14:paraId="28520F6E" w14:textId="77777777">
      <w:pPr>
        <w:widowControl w:val="0"/>
        <w:spacing w:before="796" w:line="240" w:lineRule="auto"/>
        <w:jc w:val="center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PORTARIA N.º</w:t>
      </w:r>
      <w:r w:rsidRPr="67810944" w:rsidR="002C74F9">
        <w:rPr>
          <w:rFonts w:ascii="Times New Roman" w:hAnsi="Times New Roman" w:eastAsia="Times New Roman" w:cs="Times New Roman"/>
          <w:color w:val="92D050"/>
          <w:sz w:val="28"/>
          <w:szCs w:val="28"/>
        </w:rPr>
        <w:t xml:space="preserve"> 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</w:rPr>
        <w:t>00</w:t>
      </w:r>
      <w:r w:rsidRPr="67810944" w:rsidR="002C74F9">
        <w:rPr>
          <w:rFonts w:ascii="Times New Roman" w:hAnsi="Times New Roman" w:eastAsia="Times New Roman" w:cs="Times New Roman"/>
          <w:color w:val="92D050"/>
          <w:sz w:val="28"/>
          <w:szCs w:val="28"/>
        </w:rPr>
        <w:t>/</w:t>
      </w: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GAB, 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</w:rPr>
        <w:t>DD</w:t>
      </w: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de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MM</w:t>
      </w: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de 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</w:rPr>
        <w:t>AA</w:t>
      </w: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.  </w:t>
      </w:r>
    </w:p>
    <w:p w:rsidR="00FE58B5" w:rsidP="67810944" w:rsidRDefault="002C74F9" w14:paraId="7E0644F4" w14:textId="7D786827">
      <w:pPr>
        <w:widowControl w:val="0"/>
        <w:spacing w:before="255" w:line="263" w:lineRule="auto"/>
        <w:ind w:firstLine="63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O/A 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</w:rPr>
        <w:t>................(titular do órgão ou entidade)</w:t>
      </w:r>
      <w:r w:rsidRPr="67810944" w:rsidR="15092B12">
        <w:rPr>
          <w:rFonts w:ascii="Times New Roman" w:hAnsi="Times New Roman" w:eastAsia="Times New Roman" w:cs="Times New Roman"/>
          <w:color w:val="00B050"/>
          <w:sz w:val="28"/>
          <w:szCs w:val="28"/>
        </w:rPr>
        <w:t>,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usando das atribuições que lhe conferem o Decreto n.º (...), de (...)</w:t>
      </w:r>
      <w:r w:rsidRPr="67810944" w:rsidR="5D119F53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  <w:r w:rsidRPr="67810944" w:rsidR="5D119F53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(utilizar o decreto de regulamentação do órgão/entidade)</w:t>
      </w: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, e considerando o que dispõe o art. 62, </w:t>
      </w:r>
      <w:r w:rsidRPr="67810944" w:rsidR="002C74F9">
        <w:rPr>
          <w:rFonts w:ascii="Times New Roman" w:hAnsi="Times New Roman" w:eastAsia="Times New Roman" w:cs="Times New Roman"/>
          <w:i w:val="1"/>
          <w:iCs w:val="1"/>
          <w:color w:val="000000" w:themeColor="text1" w:themeTint="FF" w:themeShade="FF"/>
          <w:sz w:val="28"/>
          <w:szCs w:val="28"/>
        </w:rPr>
        <w:t>caput</w:t>
      </w: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, da Lei </w:t>
      </w: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Orgânica do TCE/GO, Lei n.º 16.168, de 11 de dezembro de 2007, c/c os artigos</w:t>
      </w:r>
      <w:r w:rsidRPr="67810944" w:rsidR="002C74F9"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 </w:t>
      </w:r>
      <w:r w:rsidRPr="67810944" w:rsidR="002C74F9">
        <w:rPr>
          <w:rFonts w:ascii="Times New Roman" w:hAnsi="Times New Roman" w:eastAsia="Times New Roman" w:cs="Times New Roman"/>
          <w:color w:val="auto"/>
          <w:sz w:val="28"/>
          <w:szCs w:val="28"/>
        </w:rPr>
        <w:t>10</w:t>
      </w:r>
      <w:r w:rsidRPr="67810944" w:rsidR="002C74F9"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 e </w:t>
      </w:r>
      <w:r w:rsidRPr="67810944" w:rsidR="002C74F9">
        <w:rPr>
          <w:rFonts w:ascii="Times New Roman" w:hAnsi="Times New Roman" w:eastAsia="Times New Roman" w:cs="Times New Roman"/>
          <w:color w:val="auto"/>
          <w:sz w:val="28"/>
          <w:szCs w:val="28"/>
        </w:rPr>
        <w:t>12</w:t>
      </w:r>
      <w:r w:rsidRPr="67810944" w:rsidR="002C74F9"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, da Resolução Normativa n.º </w:t>
      </w:r>
      <w:r w:rsidRPr="67810944" w:rsidR="002C74F9">
        <w:rPr>
          <w:rFonts w:ascii="Times New Roman" w:hAnsi="Times New Roman" w:eastAsia="Times New Roman" w:cs="Times New Roman"/>
          <w:color w:val="auto"/>
          <w:sz w:val="28"/>
          <w:szCs w:val="28"/>
        </w:rPr>
        <w:t>8/2022</w:t>
      </w:r>
      <w:r w:rsidRPr="67810944" w:rsidR="002C74F9"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, </w:t>
      </w:r>
      <w:r w:rsidRPr="67810944" w:rsidR="002C74F9">
        <w:rPr>
          <w:rFonts w:ascii="Times New Roman" w:hAnsi="Times New Roman" w:eastAsia="Times New Roman" w:cs="Times New Roman"/>
          <w:color w:val="auto"/>
          <w:sz w:val="28"/>
          <w:szCs w:val="28"/>
        </w:rPr>
        <w:t>d</w:t>
      </w: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o Tribunal de Contas do Estado de Goiás, resolve:  </w:t>
      </w:r>
    </w:p>
    <w:p w:rsidR="00FE58B5" w:rsidP="67810944" w:rsidRDefault="002C74F9" w14:paraId="2D5F16B9" w14:textId="77DE8340">
      <w:pPr>
        <w:widowControl w:val="0"/>
        <w:spacing w:before="214" w:line="344" w:lineRule="auto"/>
        <w:ind w:left="2" w:firstLine="628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Art.1º- Instaurar Tomada de Contas Especial, com a finalidade de apurar os fatos pertinentes às irregularidades</w:t>
      </w:r>
      <w:r w:rsidRPr="67810944" w:rsidR="002C74F9"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 </w:t>
      </w:r>
      <w:r w:rsidRPr="67810944" w:rsidR="002C74F9">
        <w:rPr>
          <w:rFonts w:ascii="Times New Roman" w:hAnsi="Times New Roman" w:eastAsia="Times New Roman" w:cs="Times New Roman"/>
          <w:color w:val="auto"/>
          <w:sz w:val="28"/>
          <w:szCs w:val="28"/>
        </w:rPr>
        <w:t>consistentes no (a)</w:t>
      </w:r>
      <w:r w:rsidRPr="67810944" w:rsidR="002C74F9">
        <w:rPr>
          <w:rFonts w:ascii="Times New Roman" w:hAnsi="Times New Roman" w:eastAsia="Times New Roman" w:cs="Times New Roman"/>
          <w:color w:val="FF0000"/>
          <w:sz w:val="28"/>
          <w:szCs w:val="28"/>
        </w:rPr>
        <w:t>.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............ (indicar circunstancialmente as irregularidades (fatos) 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</w:rPr>
        <w:t>a serem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apuradas, 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sem 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alusão aos supostos autores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 e sem 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</w:rPr>
        <w:t>emissão de prejulgamento em relação aos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agentes env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olvidos, sob pena 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</w:rPr>
        <w:t>de nulidade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) </w:t>
      </w: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contidas no</w:t>
      </w:r>
      <w:r w:rsidRPr="67810944" w:rsidR="3C35A128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  <w:r w:rsidRPr="67810944" w:rsidR="06AAE3FB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(</w:t>
      </w:r>
      <w:r w:rsidRPr="67810944" w:rsidR="3C35A128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despacho/relatório/ato que </w:t>
      </w:r>
      <w:r w:rsidRPr="67810944" w:rsidR="620EB37C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finaliza as medidas administrativas ou a determinação do TCE para apurar) </w:t>
      </w:r>
      <w:r w:rsidRPr="67810944" w:rsidR="002C74F9">
        <w:rPr>
          <w:rFonts w:ascii="Times New Roman" w:hAnsi="Times New Roman" w:eastAsia="Times New Roman" w:cs="Times New Roman"/>
          <w:color w:val="auto"/>
          <w:sz w:val="28"/>
          <w:szCs w:val="28"/>
          <w:lang w:eastAsia="ja-JP" w:bidi="ar-SA"/>
        </w:rPr>
        <w:t xml:space="preserve">n.º 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... </w:t>
      </w: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da</w:t>
      </w:r>
      <w:r w:rsidRPr="67810944" w:rsidR="45902D73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(o)</w:t>
      </w: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....</w:t>
      </w: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(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Superintendência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/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Diretoria/Gerência ou TCE/GO)</w:t>
      </w: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</w:rPr>
        <w:t>... (fazer r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eferência a 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outros documentos, 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</w:rPr>
        <w:t>que poderão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ser jun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</w:rPr>
        <w:t>tado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s ou anexados ao processo, </w:t>
      </w:r>
      <w:r w:rsidRPr="67810944" w:rsidR="397B2218">
        <w:rPr>
          <w:rFonts w:ascii="Times New Roman" w:hAnsi="Times New Roman" w:eastAsia="Times New Roman" w:cs="Times New Roman"/>
          <w:color w:val="00B050"/>
          <w:sz w:val="28"/>
          <w:szCs w:val="28"/>
        </w:rPr>
        <w:t>em que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constem o fato e os indícios de autoria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67810944" w:rsidR="2C4E7458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apurados 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pela unidade responsável pela conclusão das me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didas ad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ministrativas internas 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ou pelo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 próprio TCE/GO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)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 xml:space="preserve">.  </w:t>
      </w:r>
    </w:p>
    <w:p w:rsidR="00FE58B5" w:rsidP="67810944" w:rsidRDefault="002C74F9" w14:paraId="4AA77A27" w14:textId="179D0924">
      <w:pPr>
        <w:widowControl w:val="0"/>
        <w:spacing w:before="227" w:line="345" w:lineRule="auto"/>
        <w:ind w:left="10" w:firstLine="62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Art.2º - Designar os servidores, abaixo nomeados, para comporem a Comissão de Tomada de Contas Especial, que será presidida pelo primeiro, substituído pelo segundo, </w:t>
      </w: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nas ausências</w:t>
      </w: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e nos impedimentos; e, secretariado pelo terceiro:  </w:t>
      </w:r>
    </w:p>
    <w:p w:rsidR="00FE58B5" w:rsidP="67810944" w:rsidRDefault="002C74F9" w14:paraId="17F3F83C" w14:textId="169DCD58">
      <w:pPr>
        <w:widowControl w:val="0"/>
        <w:spacing w:before="144" w:line="229" w:lineRule="auto"/>
        <w:ind w:left="12" w:hanging="1"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67810944" w:rsidR="4B6464C1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(se a comissão estiver sendo constituída nesta portaria, indicar o nome, o cargo e a matrícula dos membros da Comissão. Ressaltando que devem ser, em sua maioria, servidores efetivos; o número de membros fica a critério de cada órgão ou entidade, podendo ainda, ser um único servidor que será o tomador de contas.) </w:t>
      </w:r>
    </w:p>
    <w:p w:rsidR="00FE58B5" w:rsidP="67810944" w:rsidRDefault="002C74F9" w14:paraId="79551392" w14:textId="7BA11A32">
      <w:pPr>
        <w:widowControl w:val="0"/>
        <w:spacing w:before="227" w:line="345" w:lineRule="auto"/>
        <w:ind w:left="10" w:firstLine="620"/>
        <w:jc w:val="both"/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</w:pP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ou caso haja comissão permanente constituída:</w:t>
      </w:r>
    </w:p>
    <w:p w:rsidR="00FE58B5" w:rsidP="67810944" w:rsidRDefault="002C74F9" w14:paraId="27A2DE90" w14:textId="7A4C8F0A">
      <w:pPr>
        <w:pStyle w:val="Normal"/>
        <w:widowControl w:val="0"/>
        <w:suppressLineNumbers w:val="0"/>
        <w:bidi w:val="0"/>
        <w:spacing w:before="227" w:beforeAutospacing="off" w:after="0" w:afterAutospacing="off" w:line="345" w:lineRule="auto"/>
        <w:ind w:left="10" w:right="0" w:firstLine="620"/>
        <w:jc w:val="both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  <w:r w:rsidRPr="1B917C23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Art. </w:t>
      </w:r>
      <w:r w:rsidRPr="1B917C23" w:rsidR="707B0822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3</w:t>
      </w:r>
      <w:r w:rsidRPr="1B917C23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º - Designar a Comissão Permanente de Tomada de Contas Especial instituída pela Portaria n</w:t>
      </w:r>
      <w:r w:rsidRPr="1B917C23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° </w:t>
      </w:r>
      <w:r w:rsidRPr="1B917C23" w:rsidR="33783FB6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(</w:t>
      </w:r>
      <w:r w:rsidRPr="1B917C23" w:rsidR="33783FB6">
        <w:rPr>
          <w:rFonts w:ascii="Times New Roman" w:hAnsi="Times New Roman" w:eastAsia="Times New Roman" w:cs="Times New Roman"/>
          <w:color w:val="00B050"/>
          <w:sz w:val="28"/>
          <w:szCs w:val="28"/>
          <w:lang w:eastAsia="ja-JP" w:bidi="ar-SA"/>
        </w:rPr>
        <w:t>indicar o número da portaria que já constituiu a comissão permanente)</w:t>
      </w:r>
      <w:r w:rsidRPr="1B917C23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para realizar a apuração</w:t>
      </w:r>
      <w:r w:rsidRPr="1B917C23" w:rsidR="212B94C1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:</w:t>
      </w:r>
    </w:p>
    <w:p w:rsidR="00FE58B5" w:rsidP="67810944" w:rsidRDefault="00FE58B5" w14:paraId="0A37501D" w14:textId="77777777">
      <w:pPr>
        <w:widowControl w:val="0"/>
        <w:spacing w:before="144" w:line="229" w:lineRule="auto"/>
        <w:ind w:left="12" w:hanging="1"/>
        <w:rPr>
          <w:rFonts w:ascii="Times New Roman" w:hAnsi="Times New Roman" w:eastAsia="Times New Roman" w:cs="Times New Roman"/>
          <w:color w:val="00B050"/>
          <w:sz w:val="28"/>
          <w:szCs w:val="28"/>
        </w:rPr>
      </w:pPr>
    </w:p>
    <w:p w:rsidR="00FE58B5" w:rsidP="67810944" w:rsidRDefault="002C74F9" w14:paraId="2AF21EEF" w14:textId="5E81DB22">
      <w:pPr>
        <w:widowControl w:val="0"/>
        <w:spacing w:before="6" w:line="240" w:lineRule="auto"/>
        <w:ind w:left="11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Cargo/</w:t>
      </w:r>
      <w:r w:rsidRPr="67810944" w:rsidR="205632C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CPF</w:t>
      </w: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. n.º </w:t>
      </w:r>
      <w:r w:rsidRPr="67810944" w:rsidR="0C5B5856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(mascarado nos três primeiros e dois últimos </w:t>
      </w:r>
      <w:r w:rsidRPr="67810944" w:rsidR="0C5B5856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números)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</w:rPr>
        <w:t>...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</w:p>
    <w:p w:rsidR="00FE58B5" w:rsidP="67810944" w:rsidRDefault="002C74F9" w14:paraId="5826C143" w14:textId="77777777">
      <w:pPr>
        <w:widowControl w:val="0"/>
        <w:spacing w:line="240" w:lineRule="auto"/>
        <w:ind w:left="7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Presidente da Comissão de TCE  </w:t>
      </w:r>
    </w:p>
    <w:p w:rsidR="00FE58B5" w:rsidP="67810944" w:rsidRDefault="002C74F9" w14:paraId="63CAFFAF" w14:textId="77777777">
      <w:pPr>
        <w:widowControl w:val="0"/>
        <w:spacing w:before="272" w:line="240" w:lineRule="auto"/>
        <w:ind w:left="20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 </w:t>
      </w:r>
    </w:p>
    <w:p w:rsidR="002C74F9" w:rsidP="67810944" w:rsidRDefault="002C74F9" w14:paraId="27DF0E8E" w14:textId="3E31C0AB">
      <w:pPr>
        <w:pStyle w:val="Normal"/>
        <w:widowControl w:val="0"/>
        <w:spacing w:before="6" w:line="240" w:lineRule="auto"/>
        <w:ind w:left="11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Cargo/</w:t>
      </w:r>
      <w:r w:rsidRPr="67810944" w:rsidR="3DD73DA3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CPF. n.º (mascarado nos três primeiros e dois últimos </w:t>
      </w:r>
      <w:r w:rsidRPr="67810944" w:rsidR="3DD73DA3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números</w:t>
      </w:r>
      <w:r w:rsidRPr="67810944" w:rsidR="3DD73DA3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)</w:t>
      </w:r>
      <w:r w:rsidRPr="67810944" w:rsidR="3DD73DA3">
        <w:rPr>
          <w:rFonts w:ascii="Times New Roman" w:hAnsi="Times New Roman" w:eastAsia="Times New Roman" w:cs="Times New Roman"/>
          <w:color w:val="00B050"/>
          <w:sz w:val="28"/>
          <w:szCs w:val="28"/>
        </w:rPr>
        <w:t>..</w:t>
      </w:r>
      <w:r w:rsidRPr="67810944" w:rsidR="3DD73DA3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</w:p>
    <w:p w:rsidR="00FE58B5" w:rsidP="67810944" w:rsidRDefault="002C74F9" w14:paraId="54860591" w14:textId="77777777">
      <w:pPr>
        <w:widowControl w:val="0"/>
        <w:spacing w:line="240" w:lineRule="auto"/>
        <w:ind w:left="7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Membro  </w:t>
      </w:r>
    </w:p>
    <w:p w:rsidR="00FE58B5" w:rsidP="67810944" w:rsidRDefault="002C74F9" w14:paraId="0A735A6C" w14:textId="77777777">
      <w:pPr>
        <w:widowControl w:val="0"/>
        <w:spacing w:before="271" w:line="240" w:lineRule="auto"/>
        <w:ind w:left="20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 </w:t>
      </w:r>
    </w:p>
    <w:p w:rsidR="00FE58B5" w:rsidP="67810944" w:rsidRDefault="002C74F9" w14:paraId="60F691F0" w14:textId="3EB29AE4">
      <w:pPr>
        <w:pStyle w:val="Normal"/>
        <w:widowControl w:val="0"/>
        <w:spacing w:before="6" w:line="240" w:lineRule="auto"/>
        <w:ind w:left="11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Cargo/</w:t>
      </w:r>
      <w:r w:rsidRPr="67810944" w:rsidR="6E408DC2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CPF. n.º (mascarado nos três primeiros e dois últimos números)</w:t>
      </w:r>
      <w:r w:rsidRPr="67810944" w:rsidR="6E408DC2">
        <w:rPr>
          <w:rFonts w:ascii="Times New Roman" w:hAnsi="Times New Roman" w:eastAsia="Times New Roman" w:cs="Times New Roman"/>
          <w:color w:val="00B050"/>
          <w:sz w:val="28"/>
          <w:szCs w:val="28"/>
        </w:rPr>
        <w:t>.</w:t>
      </w:r>
    </w:p>
    <w:p w:rsidR="00FE58B5" w:rsidP="67810944" w:rsidRDefault="002C74F9" w14:paraId="66FFD271" w14:textId="2C5B8BE8">
      <w:pPr>
        <w:pStyle w:val="Normal"/>
        <w:widowControl w:val="0"/>
        <w:spacing w:before="6" w:line="240" w:lineRule="auto"/>
        <w:ind w:left="11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Secretário </w:t>
      </w:r>
    </w:p>
    <w:p w:rsidR="00FE58B5" w:rsidP="67810944" w:rsidRDefault="002C74F9" w14:paraId="0DFAE634" w14:textId="77777777">
      <w:pPr>
        <w:widowControl w:val="0"/>
        <w:spacing w:before="392" w:line="240" w:lineRule="auto"/>
        <w:jc w:val="center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 </w:t>
      </w:r>
    </w:p>
    <w:p w:rsidR="00FE58B5" w:rsidP="67810944" w:rsidRDefault="00FE58B5" w14:paraId="5DAB6C7B" w14:textId="77777777">
      <w:pPr>
        <w:widowControl w:val="0"/>
        <w:spacing w:line="240" w:lineRule="auto"/>
        <w:jc w:val="center"/>
        <w:rPr>
          <w:rFonts w:ascii="Times New Roman" w:hAnsi="Times New Roman" w:eastAsia="Times New Roman" w:cs="Times New Roman"/>
          <w:color w:val="000000"/>
          <w:sz w:val="28"/>
          <w:szCs w:val="28"/>
        </w:rPr>
      </w:pPr>
    </w:p>
    <w:p w:rsidR="00FE58B5" w:rsidP="67810944" w:rsidRDefault="002C74F9" w14:paraId="5EBB57A4" w14:textId="15264806">
      <w:pPr>
        <w:widowControl w:val="0"/>
        <w:spacing w:before="259" w:line="345" w:lineRule="auto"/>
        <w:ind w:left="11" w:hanging="8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Art.3º- A Comissão fica desde logo autorizada a praticar todos os atos necessários e pertinentes ao desempenho de suas funções.  </w:t>
      </w:r>
    </w:p>
    <w:p w:rsidR="00FE58B5" w:rsidP="67810944" w:rsidRDefault="002C74F9" w14:paraId="746E2110" w14:textId="3DD46282">
      <w:pPr>
        <w:widowControl w:val="0"/>
        <w:spacing w:before="226" w:line="345" w:lineRule="auto"/>
        <w:ind w:left="2" w:hanging="1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1B917C23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Art.</w:t>
      </w:r>
      <w:r w:rsidRPr="1B917C23" w:rsidR="4824A5B2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4</w:t>
      </w:r>
      <w:r w:rsidRPr="1B917C23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º- Os membros da Comissão desenvolverão os trabalhos sem prejuízo de suas atribuições rotineiras </w:t>
      </w:r>
      <w:r w:rsidRPr="1B917C23" w:rsidR="002C74F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(conforme o nível de complexidade, os membros da Comissão poderão ficar liberados do desempenho de suas funções normais) </w:t>
      </w:r>
      <w:r w:rsidRPr="1B917C23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e conforme for deliberado pelo</w:t>
      </w:r>
      <w:r w:rsidRPr="1B917C23" w:rsidR="03EF17F1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seu </w:t>
      </w:r>
      <w:r w:rsidRPr="1B917C23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presidente</w:t>
      </w:r>
      <w:r w:rsidRPr="1B917C23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.  </w:t>
      </w:r>
    </w:p>
    <w:p w:rsidR="00FE58B5" w:rsidP="67810944" w:rsidRDefault="002C74F9" w14:paraId="0C75E1F3" w14:textId="39619FDD">
      <w:pPr>
        <w:widowControl w:val="0"/>
        <w:spacing w:before="226" w:line="345" w:lineRule="auto"/>
        <w:ind w:left="2" w:hanging="2"/>
        <w:jc w:val="both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Art.5º - Fica concedido o prazo de 180 (cento e oitenta) dias para a conclusão dos trabalhos e envio dos autos ao Tribunal de Contas do Estado de Goiás, a contar da data da instauração da TCE,</w:t>
      </w:r>
      <w:r w:rsidRPr="67810944" w:rsidR="169E287F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lang w:eastAsia="ja-JP" w:bidi="ar-SA"/>
        </w:rPr>
        <w:t xml:space="preserve"> </w:t>
      </w: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lang w:eastAsia="ja-JP" w:bidi="ar-SA"/>
        </w:rPr>
        <w:t>ou seja, da autuação do processo específico,</w:t>
      </w: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lang w:eastAsia="ja-JP" w:bidi="ar-SA"/>
        </w:rPr>
        <w:t xml:space="preserve"> sendo que em 120 (cento e vinte) dias os autos serão submetidos à Controladoria</w:t>
      </w:r>
      <w:r w:rsidRPr="67810944" w:rsidR="76AD22D7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-</w:t>
      </w: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Geral do Estado</w:t>
      </w:r>
      <w:r w:rsidRPr="67810944" w:rsidR="5D417713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.</w:t>
      </w:r>
    </w:p>
    <w:p w:rsidR="00FE58B5" w:rsidP="67810944" w:rsidRDefault="002C74F9" w14:paraId="05880838" w14:textId="5E550C1E">
      <w:pPr>
        <w:widowControl w:val="0"/>
        <w:spacing w:before="229" w:line="509" w:lineRule="auto"/>
        <w:ind w:left="1429" w:right="2069" w:hanging="1426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67810944" w:rsidR="002C74F9">
        <w:rPr>
          <w:rFonts w:ascii="Times New Roman" w:hAnsi="Times New Roman" w:eastAsia="Times New Roman" w:cs="Times New Roman"/>
          <w:color w:val="FF0000"/>
          <w:sz w:val="28"/>
          <w:szCs w:val="28"/>
        </w:rPr>
        <w:t xml:space="preserve"> </w:t>
      </w: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Art.6º- Esta portaria entra em vigor na data de sua publicação. </w:t>
      </w: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</w:p>
    <w:p w:rsidR="00FE58B5" w:rsidP="67810944" w:rsidRDefault="002C74F9" w14:paraId="07200EA3" w14:textId="42D413D1">
      <w:pPr>
        <w:widowControl w:val="0"/>
        <w:spacing w:before="229" w:line="509" w:lineRule="auto"/>
        <w:ind w:left="0" w:right="2069" w:firstLine="11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67810944" w:rsidR="002C74F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Goiânia, </w:t>
      </w: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.... </w:t>
      </w:r>
    </w:p>
    <w:p w:rsidR="00FE58B5" w:rsidP="67810944" w:rsidRDefault="002C74F9" w14:paraId="00E4F9D3" w14:textId="77777777">
      <w:pPr>
        <w:widowControl w:val="0"/>
        <w:spacing w:before="462" w:line="240" w:lineRule="auto"/>
        <w:ind w:left="0" w:right="2971" w:firstLine="1440"/>
        <w:jc w:val="center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67810944" w:rsidR="002C74F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......................................  </w:t>
      </w:r>
    </w:p>
    <w:p w:rsidR="4BF0A98B" w:rsidP="1B917C23" w:rsidRDefault="4BF0A98B" w14:paraId="5607D2A3" w14:textId="46CE526F">
      <w:pPr>
        <w:widowControl w:val="0"/>
        <w:spacing w:before="195" w:line="240" w:lineRule="auto"/>
        <w:ind w:left="0" w:right="2923" w:firstLine="1440"/>
        <w:jc w:val="center"/>
        <w:rPr>
          <w:rFonts w:ascii="Times New Roman" w:hAnsi="Times New Roman" w:eastAsia="Times New Roman" w:cs="Times New Roman"/>
          <w:color w:val="00B050" w:themeColor="text1" w:themeTint="FF" w:themeShade="FF"/>
          <w:sz w:val="28"/>
          <w:szCs w:val="28"/>
        </w:rPr>
      </w:pPr>
      <w:r w:rsidRPr="1B917C23" w:rsidR="4BF0A98B">
        <w:rPr>
          <w:rFonts w:ascii="Times New Roman" w:hAnsi="Times New Roman" w:eastAsia="Times New Roman" w:cs="Times New Roman"/>
          <w:color w:val="00B050"/>
          <w:sz w:val="28"/>
          <w:szCs w:val="28"/>
        </w:rPr>
        <w:t>Nome do titular da Pasta</w:t>
      </w:r>
    </w:p>
    <w:p w:rsidR="00FE58B5" w:rsidP="1B917C23" w:rsidRDefault="00FE58B5" w14:paraId="02EB378F" w14:textId="56F23307">
      <w:pPr>
        <w:widowControl w:val="0"/>
        <w:spacing w:before="195" w:line="240" w:lineRule="auto"/>
        <w:ind w:left="0" w:right="2923" w:firstLine="1440"/>
        <w:jc w:val="center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1B917C23" w:rsidR="002C74F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Cargo do titular da Pasta </w:t>
      </w:r>
    </w:p>
    <w:sectPr w:rsidR="00FE58B5">
      <w:pgSz w:w="11900" w:h="16840" w:orient="portrait"/>
      <w:pgMar w:top="412" w:right="1068" w:bottom="786" w:left="1129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E58B5" w:rsidRDefault="002C74F9" w14:paraId="41C8F396" w14:textId="77777777">
      <w:pPr>
        <w:spacing w:line="240" w:lineRule="auto"/>
      </w:pPr>
      <w:r>
        <w:separator/>
      </w:r>
    </w:p>
  </w:endnote>
  <w:endnote w:type="continuationSeparator" w:id="0">
    <w:p w:rsidR="00FE58B5" w:rsidRDefault="002C74F9" w14:paraId="72A3D3EC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altName w:val="Times New Roman"/>
    <w:panose1 w:val="020206030504050203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E58B5" w:rsidRDefault="002C74F9" w14:paraId="6A05A809" w14:textId="77777777">
      <w:r>
        <w:separator/>
      </w:r>
    </w:p>
  </w:footnote>
  <w:footnote w:type="continuationSeparator" w:id="0">
    <w:p w:rsidR="00FE58B5" w:rsidRDefault="002C74F9" w14:paraId="5A39BBE3" w14:textId="777777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58B5"/>
    <w:rsid w:val="00203262"/>
    <w:rsid w:val="002C74F9"/>
    <w:rsid w:val="00FE58B5"/>
    <w:rsid w:val="01D10C15"/>
    <w:rsid w:val="03EF17F1"/>
    <w:rsid w:val="0508C3DE"/>
    <w:rsid w:val="06AAE3FB"/>
    <w:rsid w:val="0836F740"/>
    <w:rsid w:val="0C5B5856"/>
    <w:rsid w:val="0CABDEBB"/>
    <w:rsid w:val="0FB10AD2"/>
    <w:rsid w:val="1294A89C"/>
    <w:rsid w:val="1361820F"/>
    <w:rsid w:val="15092B12"/>
    <w:rsid w:val="169E287F"/>
    <w:rsid w:val="1B917C23"/>
    <w:rsid w:val="1C2AAECE"/>
    <w:rsid w:val="1C9B94CF"/>
    <w:rsid w:val="205632C9"/>
    <w:rsid w:val="20A8BE79"/>
    <w:rsid w:val="212B94C1"/>
    <w:rsid w:val="22F90055"/>
    <w:rsid w:val="2C4E7458"/>
    <w:rsid w:val="2CC36F50"/>
    <w:rsid w:val="2DD2B955"/>
    <w:rsid w:val="33783FB6"/>
    <w:rsid w:val="397B2218"/>
    <w:rsid w:val="3B18EA18"/>
    <w:rsid w:val="3BA23DB7"/>
    <w:rsid w:val="3C35A128"/>
    <w:rsid w:val="3DD73DA3"/>
    <w:rsid w:val="400E3B4A"/>
    <w:rsid w:val="45902D73"/>
    <w:rsid w:val="4824A5B2"/>
    <w:rsid w:val="4881A58C"/>
    <w:rsid w:val="4B6464C1"/>
    <w:rsid w:val="4BF0A98B"/>
    <w:rsid w:val="4D2614BB"/>
    <w:rsid w:val="502BEE94"/>
    <w:rsid w:val="52BD4E76"/>
    <w:rsid w:val="53241060"/>
    <w:rsid w:val="55358A78"/>
    <w:rsid w:val="59B01DC6"/>
    <w:rsid w:val="5A63690E"/>
    <w:rsid w:val="5D119F53"/>
    <w:rsid w:val="5D17B08B"/>
    <w:rsid w:val="5D417713"/>
    <w:rsid w:val="5F622245"/>
    <w:rsid w:val="61BE49D7"/>
    <w:rsid w:val="620EB37C"/>
    <w:rsid w:val="634DED71"/>
    <w:rsid w:val="67810944"/>
    <w:rsid w:val="6A88CC28"/>
    <w:rsid w:val="6E408DC2"/>
    <w:rsid w:val="6FC92264"/>
    <w:rsid w:val="707B0822"/>
    <w:rsid w:val="72C529BA"/>
    <w:rsid w:val="72D74B72"/>
    <w:rsid w:val="743BB320"/>
    <w:rsid w:val="745B7B4D"/>
    <w:rsid w:val="76AD22D7"/>
    <w:rsid w:val="76C225F9"/>
    <w:rsid w:val="7E278F7D"/>
    <w:rsid w:val="7EECD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E8C760"/>
  <w15:docId w15:val="{D02622BD-520C-4DE5-BCFF-7008C4700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hAnsi="Arial" w:eastAsia="Arial" w:cs="Arial"/>
        <w:lang w:val="pt-BR" w:eastAsia="ja-JP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Default Paragraph Font" w:semiHidden="1"/>
    <w:lsdException w:name="Strong" w:qFormat="1"/>
    <w:lsdException w:name="Emphasis" w:qFormat="1"/>
    <w:lsdException w:name="HTML Top of Form" w:uiPriority="99" w:semiHidden="1" w:unhideWhenUsed="1"/>
    <w:lsdException w:name="HTML Bottom of Form" w:uiPriority="99" w:semiHidden="1" w:unhideWhenUsed="1"/>
    <w:lsdException w:name="Normal Table" w:semiHidden="1" w:unhideWhenUsed="1"/>
    <w:lsdException w:name="No List" w:uiPriority="99" w:semiHidden="1" w:unhideWhenUsed="1"/>
    <w:lsdException w:name="Outline List 1" w:uiPriority="99" w:semiHidden="1" w:unhideWhenUsed="1"/>
    <w:lsdException w:name="Outline List 2" w:uiPriority="99" w:semiHidden="1" w:unhideWhenUsed="1"/>
    <w:lsdException w:name="Outline List 3" w:uiPriority="99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 w:unhideWhenUsed="1"/>
    <w:lsdException w:name="No Spacing" w:uiPriority="99" w:semiHidden="1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uiPriority="99" w:semiHidden="1" w:unhideWhenUsed="1"/>
    <w:lsdException w:name="List Paragraph" w:uiPriority="99" w:semiHidden="1" w:unhideWhenUsed="1"/>
    <w:lsdException w:name="Quote" w:uiPriority="99" w:semiHidden="1" w:unhideWhenUsed="1"/>
    <w:lsdException w:name="Intense Quote" w:uiPriority="99" w:semiHidden="1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pPr>
      <w:spacing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TableNormal" w:customStyle="1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customXml" Target="../customXml/item3.xml" Id="rId3" /><Relationship Type="http://schemas.openxmlformats.org/officeDocument/2006/relationships/footnotes" Target="footnote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theme" Target="theme/theme1.xml" Id="rId10" /><Relationship Type="http://schemas.openxmlformats.org/officeDocument/2006/relationships/styles" Target="styles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6C17365521D04895DB9199C799F0E6" ma:contentTypeVersion="7" ma:contentTypeDescription="Create a new document." ma:contentTypeScope="" ma:versionID="6b39e83f2920a74665a873ea52c45a9f">
  <xsd:schema xmlns:xsd="http://www.w3.org/2001/XMLSchema" xmlns:xs="http://www.w3.org/2001/XMLSchema" xmlns:p="http://schemas.microsoft.com/office/2006/metadata/properties" xmlns:ns2="f5c612ff-118a-41e9-8f6a-8eb7980d8503" xmlns:ns3="c339bbc5-aad6-4efb-bda2-d2bc0b153f75" targetNamespace="http://schemas.microsoft.com/office/2006/metadata/properties" ma:root="true" ma:fieldsID="ebdae3119e3180f945bb2345edc63771" ns2:_="" ns3:_="">
    <xsd:import namespace="f5c612ff-118a-41e9-8f6a-8eb7980d8503"/>
    <xsd:import namespace="c339bbc5-aad6-4efb-bda2-d2bc0b153f7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Observa_x00e7__x00e3_o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c612ff-118a-41e9-8f6a-8eb7980d85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Observa_x00e7__x00e3_o" ma:index="14" ma:displayName="Observação" ma:format="Dropdown" ma:internalName="Observa_x00e7__x00e3_o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39bbc5-aad6-4efb-bda2-d2bc0b153f7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bserva_x00e7__x00e3_o xmlns="f5c612ff-118a-41e9-8f6a-8eb7980d8503"/>
  </documentManagement>
</p:properties>
</file>

<file path=customXml/itemProps1.xml><?xml version="1.0" encoding="utf-8"?>
<ds:datastoreItem xmlns:ds="http://schemas.openxmlformats.org/officeDocument/2006/customXml" ds:itemID="{124401AA-7A3F-4FF8-B70C-3CA0F48120F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252831E-EC30-435D-8A0C-599A210FD9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c612ff-118a-41e9-8f6a-8eb7980d8503"/>
    <ds:schemaRef ds:uri="c339bbc5-aad6-4efb-bda2-d2bc0b153f7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B6ADC52-7790-4481-ACB4-E75608FAB864}">
  <ds:schemaRefs>
    <ds:schemaRef ds:uri="http://schemas.microsoft.com/office/2006/metadata/properties"/>
    <ds:schemaRef ds:uri="http://schemas.microsoft.com/office/infopath/2007/PartnerControls"/>
    <ds:schemaRef ds:uri="f5c612ff-118a-41e9-8f6a-8eb7980d8503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alessandra.nogueira</dc:creator>
  <lastModifiedBy>Alessandra Vanessa de Souza Nogueira</lastModifiedBy>
  <revision>5</revision>
  <dcterms:created xsi:type="dcterms:W3CDTF">2024-12-18T13:04:00.0000000Z</dcterms:created>
  <dcterms:modified xsi:type="dcterms:W3CDTF">2025-01-17T15:43:37.2737621Z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1046-12.2.0.13215</vt:lpwstr>
  </property>
  <property fmtid="{D5CDD505-2E9C-101B-9397-08002B2CF9AE}" pid="3" name="ICV">
    <vt:lpwstr>99D1F81CFFBF4A129B15283B1923FD0C_12</vt:lpwstr>
  </property>
  <property fmtid="{D5CDD505-2E9C-101B-9397-08002B2CF9AE}" pid="4" name="ContentTypeId">
    <vt:lpwstr>0x010100706C17365521D04895DB9199C799F0E6</vt:lpwstr>
  </property>
</Properties>
</file>