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06EF02" w14:textId="77777777" w:rsidR="00744F6A" w:rsidRDefault="00744F6A" w:rsidP="00744F6A">
      <w:pPr>
        <w:pStyle w:val="Standard"/>
        <w:spacing w:before="120" w:after="120" w:line="360" w:lineRule="auto"/>
        <w:jc w:val="center"/>
        <w:rPr>
          <w:rFonts w:asciiTheme="minorHAnsi" w:hAnsiTheme="minorHAnsi" w:cstheme="minorHAnsi"/>
          <w:b/>
          <w:bCs/>
          <w:sz w:val="22"/>
          <w:szCs w:val="22"/>
        </w:rPr>
      </w:pPr>
      <w:bookmarkStart w:id="0" w:name="_GoBack"/>
      <w:bookmarkEnd w:id="0"/>
      <w:r>
        <w:rPr>
          <w:rFonts w:asciiTheme="minorHAnsi" w:hAnsiTheme="minorHAnsi" w:cstheme="minorHAnsi"/>
          <w:b/>
          <w:bCs/>
          <w:sz w:val="22"/>
          <w:szCs w:val="22"/>
        </w:rPr>
        <w:t xml:space="preserve">PARECER CETRAN Nº 002, DE </w:t>
      </w:r>
      <w:proofErr w:type="gramStart"/>
      <w:r>
        <w:rPr>
          <w:rFonts w:asciiTheme="minorHAnsi" w:hAnsiTheme="minorHAnsi" w:cstheme="minorHAnsi"/>
          <w:b/>
          <w:bCs/>
          <w:sz w:val="22"/>
          <w:szCs w:val="22"/>
        </w:rPr>
        <w:t>DEZEMBRO</w:t>
      </w:r>
      <w:proofErr w:type="gramEnd"/>
      <w:r>
        <w:rPr>
          <w:rFonts w:asciiTheme="minorHAnsi" w:hAnsiTheme="minorHAnsi" w:cstheme="minorHAnsi"/>
          <w:b/>
          <w:bCs/>
          <w:sz w:val="22"/>
          <w:szCs w:val="22"/>
        </w:rPr>
        <w:t xml:space="preserve"> DE 2022 </w:t>
      </w:r>
    </w:p>
    <w:p w14:paraId="2F123A1A" w14:textId="77777777" w:rsidR="005242F9" w:rsidRDefault="005242F9" w:rsidP="005242F9">
      <w:pPr>
        <w:pStyle w:val="Standard"/>
        <w:spacing w:before="120" w:after="120"/>
        <w:ind w:left="3402"/>
        <w:jc w:val="both"/>
        <w:rPr>
          <w:rFonts w:asciiTheme="minorHAnsi" w:hAnsiTheme="minorHAnsi" w:cstheme="minorHAnsi"/>
          <w:sz w:val="22"/>
          <w:szCs w:val="22"/>
        </w:rPr>
      </w:pPr>
      <w:r>
        <w:rPr>
          <w:rFonts w:asciiTheme="minorHAnsi" w:hAnsiTheme="minorHAnsi" w:cstheme="minorHAnsi"/>
          <w:sz w:val="22"/>
          <w:szCs w:val="22"/>
        </w:rPr>
        <w:t xml:space="preserve">Ementa: PROCESSO ADMINISTRATIVO. DEFESAS E RECURSOS DE TRÂNSITO. UTILIZAÇÃO DE IMAGENS CAPTURADAS POR CÂMARAS DE SEGURANÇA COMO MEIO DE PROVA. POSSIBILIDADE. Ampla defesa e contraditório. Direito fundamental insculpido no Art. 5º, inciso LV da Constituição Federal. </w:t>
      </w:r>
    </w:p>
    <w:p w14:paraId="694BC358" w14:textId="77777777" w:rsidR="005242F9" w:rsidRDefault="005242F9" w:rsidP="005242F9">
      <w:pPr>
        <w:pStyle w:val="Standard"/>
        <w:spacing w:before="120" w:after="120" w:line="360" w:lineRule="auto"/>
        <w:jc w:val="both"/>
        <w:rPr>
          <w:rFonts w:asciiTheme="minorHAnsi" w:hAnsiTheme="minorHAnsi" w:cstheme="minorHAnsi"/>
          <w:b/>
          <w:bCs/>
          <w:sz w:val="22"/>
          <w:szCs w:val="22"/>
        </w:rPr>
      </w:pPr>
    </w:p>
    <w:p w14:paraId="1A920740" w14:textId="77777777" w:rsidR="005242F9" w:rsidRDefault="005242F9" w:rsidP="00744F6A">
      <w:pPr>
        <w:pStyle w:val="Standard"/>
        <w:spacing w:before="120" w:after="120" w:line="360" w:lineRule="auto"/>
        <w:rPr>
          <w:rFonts w:asciiTheme="minorHAnsi" w:hAnsiTheme="minorHAnsi" w:cstheme="minorHAnsi"/>
          <w:b/>
          <w:bCs/>
          <w:sz w:val="22"/>
          <w:szCs w:val="22"/>
        </w:rPr>
      </w:pPr>
      <w:r>
        <w:rPr>
          <w:rFonts w:asciiTheme="minorHAnsi" w:hAnsiTheme="minorHAnsi" w:cstheme="minorHAnsi"/>
          <w:b/>
          <w:bCs/>
          <w:sz w:val="22"/>
          <w:szCs w:val="22"/>
        </w:rPr>
        <w:t>RELATÓRIO</w:t>
      </w:r>
    </w:p>
    <w:p w14:paraId="25E21450" w14:textId="77777777" w:rsidR="005242F9" w:rsidRDefault="005242F9" w:rsidP="005242F9">
      <w:pPr>
        <w:pStyle w:val="Standard"/>
        <w:spacing w:before="120" w:after="120" w:line="360" w:lineRule="auto"/>
        <w:ind w:firstLine="1418"/>
        <w:jc w:val="both"/>
      </w:pPr>
      <w:r>
        <w:rPr>
          <w:rFonts w:asciiTheme="minorHAnsi" w:hAnsiTheme="minorHAnsi" w:cstheme="minorHAnsi"/>
          <w:sz w:val="22"/>
          <w:szCs w:val="22"/>
        </w:rPr>
        <w:t xml:space="preserve">Trata-se de consulta dirigida a este Conselho Estadual de Trânsito (CETRAN/GO), em cumprimento à norma insculpida nos §§ 1º e 2º do art. 35 do Decreto nº 9.697, de 16 de julho de 2020, tendo em vista a propositura de Lei nº 107, de 19 de abril de 2022, que autoriza </w:t>
      </w:r>
      <w:r>
        <w:rPr>
          <w:rFonts w:asciiTheme="minorHAnsi" w:hAnsiTheme="minorHAnsi" w:cstheme="minorHAnsi"/>
          <w:b/>
          <w:bCs/>
          <w:sz w:val="22"/>
          <w:szCs w:val="22"/>
        </w:rPr>
        <w:t>o uso de imagens provenientes de câmeras de segurança, para defesa prévia e recurso de infrações de trânsito, no Estado de Goiás</w:t>
      </w:r>
      <w:r>
        <w:rPr>
          <w:rFonts w:asciiTheme="minorHAnsi" w:hAnsiTheme="minorHAnsi" w:cstheme="minorHAnsi"/>
          <w:sz w:val="22"/>
          <w:szCs w:val="22"/>
        </w:rPr>
        <w:t>.</w:t>
      </w:r>
    </w:p>
    <w:p w14:paraId="6D320FCF" w14:textId="77777777" w:rsidR="005242F9" w:rsidRDefault="005242F9" w:rsidP="005242F9">
      <w:pPr>
        <w:pStyle w:val="Standard"/>
        <w:spacing w:before="120" w:after="120" w:line="360" w:lineRule="auto"/>
        <w:ind w:firstLine="1418"/>
        <w:rPr>
          <w:rFonts w:asciiTheme="minorHAnsi" w:hAnsiTheme="minorHAnsi" w:cstheme="minorHAnsi"/>
          <w:sz w:val="22"/>
          <w:szCs w:val="22"/>
        </w:rPr>
      </w:pPr>
      <w:r>
        <w:rPr>
          <w:rFonts w:asciiTheme="minorHAnsi" w:hAnsiTheme="minorHAnsi" w:cstheme="minorHAnsi"/>
          <w:sz w:val="22"/>
          <w:szCs w:val="22"/>
        </w:rPr>
        <w:t>É o breve relatório.</w:t>
      </w:r>
    </w:p>
    <w:p w14:paraId="64ABFF93" w14:textId="3D18B9D9" w:rsidR="005242F9" w:rsidRDefault="005242F9" w:rsidP="005242F9">
      <w:pPr>
        <w:pStyle w:val="Standard"/>
        <w:spacing w:before="120" w:after="120" w:line="360" w:lineRule="auto"/>
        <w:jc w:val="both"/>
        <w:rPr>
          <w:rFonts w:asciiTheme="minorHAnsi" w:hAnsiTheme="minorHAnsi" w:cstheme="minorHAnsi"/>
          <w:b/>
          <w:bCs/>
          <w:sz w:val="22"/>
          <w:szCs w:val="22"/>
        </w:rPr>
      </w:pPr>
      <w:r>
        <w:rPr>
          <w:rFonts w:asciiTheme="minorHAnsi" w:hAnsiTheme="minorHAnsi" w:cstheme="minorHAnsi"/>
          <w:b/>
          <w:bCs/>
          <w:sz w:val="22"/>
          <w:szCs w:val="22"/>
        </w:rPr>
        <w:t>FUNDAMENTAÇÃO</w:t>
      </w:r>
    </w:p>
    <w:p w14:paraId="6EFF8775" w14:textId="77777777" w:rsidR="005242F9" w:rsidRDefault="005242F9" w:rsidP="005242F9">
      <w:pPr>
        <w:pStyle w:val="Standard"/>
        <w:spacing w:before="120" w:after="120" w:line="360" w:lineRule="auto"/>
        <w:ind w:firstLine="1418"/>
        <w:jc w:val="both"/>
        <w:rPr>
          <w:rFonts w:asciiTheme="minorHAnsi" w:hAnsiTheme="minorHAnsi" w:cstheme="minorHAnsi"/>
          <w:sz w:val="22"/>
          <w:szCs w:val="22"/>
        </w:rPr>
      </w:pPr>
      <w:r>
        <w:rPr>
          <w:rFonts w:asciiTheme="minorHAnsi" w:hAnsiTheme="minorHAnsi" w:cstheme="minorHAnsi"/>
          <w:sz w:val="22"/>
          <w:szCs w:val="22"/>
        </w:rPr>
        <w:t xml:space="preserve">Para formular um Parecer Técnico sobre a questão em pauta é preciso, inicialmente, destacar, que a administração pública se encontra, dentre outros, subordinada ao Princípio da Legalidade, insculpido no artigo 37, Constituição Federal, que dispõe: </w:t>
      </w:r>
    </w:p>
    <w:p w14:paraId="5BFC731C" w14:textId="77777777" w:rsidR="005242F9" w:rsidRDefault="005242F9" w:rsidP="005242F9">
      <w:pPr>
        <w:pStyle w:val="Standard"/>
        <w:spacing w:before="120" w:after="120"/>
        <w:ind w:left="3402"/>
        <w:jc w:val="both"/>
        <w:rPr>
          <w:rFonts w:ascii="Courier New" w:hAnsi="Courier New" w:cs="Courier New"/>
          <w:sz w:val="22"/>
          <w:szCs w:val="22"/>
        </w:rPr>
      </w:pPr>
      <w:r>
        <w:rPr>
          <w:rFonts w:asciiTheme="minorHAnsi" w:hAnsiTheme="minorHAnsi" w:cstheme="minorHAnsi"/>
          <w:sz w:val="22"/>
          <w:szCs w:val="22"/>
        </w:rPr>
        <w:t xml:space="preserve"> </w:t>
      </w:r>
      <w:r>
        <w:rPr>
          <w:rFonts w:ascii="Courier New" w:hAnsi="Courier New" w:cs="Courier New"/>
          <w:sz w:val="22"/>
          <w:szCs w:val="22"/>
        </w:rPr>
        <w:t xml:space="preserve">“Art. 37. A administração pública direta e indireta de qualquer dos Poderes da União, dos Estados, do Distrito Federal e dos Municípios obedecerá aos </w:t>
      </w:r>
      <w:r>
        <w:rPr>
          <w:rFonts w:ascii="Courier New" w:hAnsi="Courier New" w:cs="Courier New"/>
          <w:b/>
          <w:bCs/>
          <w:sz w:val="22"/>
          <w:szCs w:val="22"/>
        </w:rPr>
        <w:t>princípios de legalidade,</w:t>
      </w:r>
      <w:r>
        <w:rPr>
          <w:rFonts w:ascii="Courier New" w:hAnsi="Courier New" w:cs="Courier New"/>
          <w:sz w:val="22"/>
          <w:szCs w:val="22"/>
        </w:rPr>
        <w:t xml:space="preserve"> impessoalidade, moralidade, publicidade e eficiência (...)” (grifei)</w:t>
      </w:r>
    </w:p>
    <w:p w14:paraId="7ED8F0AE" w14:textId="77777777" w:rsidR="005242F9" w:rsidRDefault="005242F9" w:rsidP="005242F9">
      <w:pPr>
        <w:pStyle w:val="Standard"/>
        <w:spacing w:before="120" w:after="120" w:line="360" w:lineRule="auto"/>
        <w:ind w:firstLine="1418"/>
        <w:jc w:val="both"/>
        <w:rPr>
          <w:rFonts w:asciiTheme="minorHAnsi" w:hAnsiTheme="minorHAnsi" w:cstheme="minorHAnsi"/>
          <w:sz w:val="22"/>
          <w:szCs w:val="22"/>
        </w:rPr>
      </w:pPr>
    </w:p>
    <w:p w14:paraId="2CE405D1" w14:textId="06281FE9" w:rsidR="005242F9" w:rsidRPr="00744F6A" w:rsidRDefault="005242F9" w:rsidP="00744F6A">
      <w:pPr>
        <w:jc w:val="both"/>
        <w:rPr>
          <w:rFonts w:asciiTheme="minorHAnsi" w:hAnsiTheme="minorHAnsi" w:cstheme="minorHAnsi"/>
          <w:kern w:val="0"/>
          <w:sz w:val="22"/>
          <w:szCs w:val="22"/>
        </w:rPr>
      </w:pPr>
      <w:r>
        <w:rPr>
          <w:rFonts w:asciiTheme="minorHAnsi" w:hAnsiTheme="minorHAnsi" w:cstheme="minorHAnsi"/>
          <w:kern w:val="0"/>
          <w:sz w:val="22"/>
          <w:szCs w:val="22"/>
        </w:rPr>
        <w:t>Além da Constituição Federal, é possível ainda verificar que tais princípios foram recepcionados na Lei nº 9.784, de 29 de janeiro de 1999, que regula o processo administrativo</w:t>
      </w:r>
      <w:r w:rsidR="00744F6A">
        <w:rPr>
          <w:rFonts w:asciiTheme="minorHAnsi" w:hAnsiTheme="minorHAnsi" w:cstheme="minorHAnsi"/>
          <w:kern w:val="0"/>
          <w:sz w:val="22"/>
          <w:szCs w:val="22"/>
        </w:rPr>
        <w:t xml:space="preserve"> </w:t>
      </w:r>
      <w:r>
        <w:rPr>
          <w:rFonts w:asciiTheme="minorHAnsi" w:hAnsiTheme="minorHAnsi" w:cstheme="minorHAnsi"/>
          <w:sz w:val="22"/>
          <w:szCs w:val="22"/>
        </w:rPr>
        <w:t>no âmbito da Administração Pública Federal, em seu artigo 2º, e Lei Estadual 13.800, de 18 de janeiro de 2001, que regula o processo administrativo no âmbito da Administração Pública do Estado de Goiás.</w:t>
      </w:r>
    </w:p>
    <w:p w14:paraId="42BFEFCD" w14:textId="77777777" w:rsidR="005242F9" w:rsidRDefault="005242F9" w:rsidP="005242F9">
      <w:pPr>
        <w:pStyle w:val="Standard"/>
        <w:spacing w:before="120" w:after="120" w:line="360" w:lineRule="auto"/>
        <w:ind w:firstLine="1418"/>
        <w:jc w:val="both"/>
        <w:rPr>
          <w:rFonts w:asciiTheme="minorHAnsi" w:hAnsiTheme="minorHAnsi" w:cstheme="minorHAnsi"/>
          <w:sz w:val="22"/>
          <w:szCs w:val="22"/>
        </w:rPr>
      </w:pPr>
      <w:r>
        <w:rPr>
          <w:rFonts w:asciiTheme="minorHAnsi" w:hAnsiTheme="minorHAnsi" w:cstheme="minorHAnsi"/>
          <w:sz w:val="22"/>
          <w:szCs w:val="22"/>
        </w:rPr>
        <w:t>Sobre o assunto, o doutrinador, Hely Lopes Meirelles, define que:</w:t>
      </w:r>
    </w:p>
    <w:p w14:paraId="585F733F" w14:textId="77777777" w:rsidR="005242F9" w:rsidRDefault="005242F9" w:rsidP="005242F9">
      <w:pPr>
        <w:pStyle w:val="Standard"/>
        <w:spacing w:before="120" w:after="120" w:line="360" w:lineRule="auto"/>
        <w:jc w:val="both"/>
        <w:rPr>
          <w:rFonts w:asciiTheme="minorHAnsi" w:hAnsiTheme="minorHAnsi" w:cstheme="minorHAnsi"/>
          <w:i/>
          <w:iCs/>
          <w:sz w:val="22"/>
          <w:szCs w:val="22"/>
        </w:rPr>
      </w:pPr>
      <w:r>
        <w:rPr>
          <w:rFonts w:asciiTheme="minorHAnsi" w:hAnsiTheme="minorHAnsi" w:cstheme="minorHAnsi"/>
          <w:sz w:val="22"/>
          <w:szCs w:val="22"/>
        </w:rPr>
        <w:t xml:space="preserve">    </w:t>
      </w:r>
      <w:r>
        <w:rPr>
          <w:rFonts w:asciiTheme="minorHAnsi" w:hAnsiTheme="minorHAnsi" w:cstheme="minorHAnsi"/>
          <w:i/>
          <w:iCs/>
          <w:sz w:val="22"/>
          <w:szCs w:val="22"/>
        </w:rPr>
        <w:t xml:space="preserve">“A legalidade, como princípio de administração (CF, art. 37, caput), significa que o administrador público está, em toda a sua atividade funcional, </w:t>
      </w:r>
      <w:r>
        <w:rPr>
          <w:rFonts w:asciiTheme="minorHAnsi" w:hAnsiTheme="minorHAnsi" w:cstheme="minorHAnsi"/>
          <w:b/>
          <w:bCs/>
          <w:i/>
          <w:iCs/>
          <w:sz w:val="22"/>
          <w:szCs w:val="22"/>
        </w:rPr>
        <w:t>sujeito aos mandamentos da lei e às exigências do bem comum, e deles não se pode afastar ou desviar</w:t>
      </w:r>
      <w:r>
        <w:rPr>
          <w:rFonts w:asciiTheme="minorHAnsi" w:hAnsiTheme="minorHAnsi" w:cstheme="minorHAnsi"/>
          <w:i/>
          <w:iCs/>
          <w:sz w:val="22"/>
          <w:szCs w:val="22"/>
        </w:rPr>
        <w:t xml:space="preserve">, sob pena de praticar </w:t>
      </w:r>
      <w:r>
        <w:rPr>
          <w:rFonts w:asciiTheme="minorHAnsi" w:hAnsiTheme="minorHAnsi" w:cstheme="minorHAnsi"/>
          <w:b/>
          <w:bCs/>
          <w:i/>
          <w:iCs/>
          <w:sz w:val="22"/>
          <w:szCs w:val="22"/>
        </w:rPr>
        <w:t>ato inválido</w:t>
      </w:r>
      <w:r>
        <w:rPr>
          <w:rFonts w:asciiTheme="minorHAnsi" w:hAnsiTheme="minorHAnsi" w:cstheme="minorHAnsi"/>
          <w:i/>
          <w:iCs/>
          <w:sz w:val="22"/>
          <w:szCs w:val="22"/>
        </w:rPr>
        <w:t xml:space="preserve"> e expor-se a responsabilidade disciplinar, civil e criminal, conforme o </w:t>
      </w:r>
      <w:proofErr w:type="gramStart"/>
      <w:r>
        <w:rPr>
          <w:rFonts w:asciiTheme="minorHAnsi" w:hAnsiTheme="minorHAnsi" w:cstheme="minorHAnsi"/>
          <w:i/>
          <w:iCs/>
          <w:sz w:val="22"/>
          <w:szCs w:val="22"/>
        </w:rPr>
        <w:t>caso.”</w:t>
      </w:r>
      <w:proofErr w:type="gramEnd"/>
      <w:r>
        <w:rPr>
          <w:rFonts w:asciiTheme="minorHAnsi" w:hAnsiTheme="minorHAnsi" w:cstheme="minorHAnsi"/>
          <w:i/>
          <w:iCs/>
          <w:sz w:val="22"/>
          <w:szCs w:val="22"/>
        </w:rPr>
        <w:t xml:space="preserve"> </w:t>
      </w:r>
    </w:p>
    <w:p w14:paraId="60D527AE" w14:textId="77777777" w:rsidR="005242F9" w:rsidRDefault="005242F9" w:rsidP="005242F9">
      <w:pPr>
        <w:pStyle w:val="Standard"/>
        <w:spacing w:before="120" w:after="120" w:line="360" w:lineRule="auto"/>
        <w:ind w:firstLine="1418"/>
        <w:jc w:val="both"/>
        <w:rPr>
          <w:rFonts w:asciiTheme="minorHAnsi" w:hAnsiTheme="minorHAnsi" w:cstheme="minorHAnsi"/>
          <w:sz w:val="22"/>
          <w:szCs w:val="22"/>
        </w:rPr>
      </w:pPr>
      <w:r>
        <w:rPr>
          <w:rFonts w:asciiTheme="minorHAnsi" w:hAnsiTheme="minorHAnsi" w:cstheme="minorHAnsi"/>
          <w:sz w:val="22"/>
          <w:szCs w:val="22"/>
        </w:rPr>
        <w:lastRenderedPageBreak/>
        <w:t xml:space="preserve">Já em relação ao administrado, o princípio da legalidade administrativa, determina que os administrados </w:t>
      </w:r>
      <w:r>
        <w:rPr>
          <w:rFonts w:asciiTheme="minorHAnsi" w:hAnsiTheme="minorHAnsi" w:cstheme="minorHAnsi"/>
          <w:b/>
          <w:bCs/>
          <w:sz w:val="22"/>
          <w:szCs w:val="22"/>
        </w:rPr>
        <w:t>somente poderão ser obrigados a fazer</w:t>
      </w:r>
      <w:r>
        <w:rPr>
          <w:rFonts w:asciiTheme="minorHAnsi" w:hAnsiTheme="minorHAnsi" w:cstheme="minorHAnsi"/>
          <w:sz w:val="22"/>
          <w:szCs w:val="22"/>
        </w:rPr>
        <w:t xml:space="preserve"> (ou proibidos de não fazer) </w:t>
      </w:r>
      <w:r>
        <w:rPr>
          <w:rFonts w:asciiTheme="minorHAnsi" w:hAnsiTheme="minorHAnsi" w:cstheme="minorHAnsi"/>
          <w:b/>
          <w:bCs/>
          <w:sz w:val="22"/>
          <w:szCs w:val="22"/>
        </w:rPr>
        <w:t>ou deixar de fazer</w:t>
      </w:r>
      <w:r>
        <w:rPr>
          <w:rFonts w:asciiTheme="minorHAnsi" w:hAnsiTheme="minorHAnsi" w:cstheme="minorHAnsi"/>
          <w:sz w:val="22"/>
          <w:szCs w:val="22"/>
        </w:rPr>
        <w:t xml:space="preserve"> (ou proibidos de fazer) </w:t>
      </w:r>
      <w:r>
        <w:rPr>
          <w:rFonts w:asciiTheme="minorHAnsi" w:hAnsiTheme="minorHAnsi" w:cstheme="minorHAnsi"/>
          <w:b/>
          <w:bCs/>
          <w:sz w:val="22"/>
          <w:szCs w:val="22"/>
        </w:rPr>
        <w:t>junto à Administração Pública</w:t>
      </w:r>
      <w:r>
        <w:rPr>
          <w:rFonts w:asciiTheme="minorHAnsi" w:hAnsiTheme="minorHAnsi" w:cstheme="minorHAnsi"/>
          <w:sz w:val="22"/>
          <w:szCs w:val="22"/>
        </w:rPr>
        <w:t xml:space="preserve">, sem seu consentimento, </w:t>
      </w:r>
      <w:r>
        <w:rPr>
          <w:rFonts w:asciiTheme="minorHAnsi" w:hAnsiTheme="minorHAnsi" w:cstheme="minorHAnsi"/>
          <w:b/>
          <w:bCs/>
          <w:sz w:val="22"/>
          <w:szCs w:val="22"/>
        </w:rPr>
        <w:t>caso lei adequada assim o determine</w:t>
      </w:r>
      <w:r>
        <w:rPr>
          <w:rFonts w:asciiTheme="minorHAnsi" w:hAnsiTheme="minorHAnsi" w:cstheme="minorHAnsi"/>
          <w:sz w:val="22"/>
          <w:szCs w:val="22"/>
        </w:rPr>
        <w:t xml:space="preserve">. </w:t>
      </w:r>
    </w:p>
    <w:p w14:paraId="6C601859" w14:textId="77777777" w:rsidR="005242F9" w:rsidRDefault="005242F9" w:rsidP="005242F9">
      <w:pPr>
        <w:pStyle w:val="Standard"/>
        <w:spacing w:before="120" w:after="120" w:line="360" w:lineRule="auto"/>
        <w:ind w:firstLine="1418"/>
        <w:jc w:val="both"/>
        <w:rPr>
          <w:rFonts w:asciiTheme="minorHAnsi" w:hAnsiTheme="minorHAnsi" w:cstheme="minorHAnsi"/>
          <w:sz w:val="22"/>
          <w:szCs w:val="22"/>
        </w:rPr>
      </w:pPr>
      <w:r>
        <w:rPr>
          <w:rFonts w:asciiTheme="minorHAnsi" w:hAnsiTheme="minorHAnsi" w:cstheme="minorHAnsi"/>
          <w:sz w:val="22"/>
          <w:szCs w:val="22"/>
        </w:rPr>
        <w:t>É o que se extrai do enunciado no art. 5</w:t>
      </w:r>
      <w:r>
        <w:rPr>
          <w:rFonts w:asciiTheme="minorHAnsi" w:eastAsia="SimSun" w:hAnsiTheme="minorHAnsi" w:cstheme="minorHAnsi"/>
          <w:sz w:val="22"/>
          <w:szCs w:val="22"/>
        </w:rPr>
        <w:t>ª</w:t>
      </w:r>
      <w:r>
        <w:rPr>
          <w:rFonts w:asciiTheme="minorHAnsi" w:hAnsiTheme="minorHAnsi" w:cstheme="minorHAnsi"/>
          <w:sz w:val="22"/>
          <w:szCs w:val="22"/>
        </w:rPr>
        <w:t>, inciso II, da Constituição Federal, que estabelece: “</w:t>
      </w:r>
      <w:r>
        <w:rPr>
          <w:rFonts w:asciiTheme="minorHAnsi" w:hAnsiTheme="minorHAnsi" w:cstheme="minorHAnsi"/>
          <w:b/>
          <w:bCs/>
          <w:i/>
          <w:iCs/>
          <w:sz w:val="22"/>
          <w:szCs w:val="22"/>
        </w:rPr>
        <w:t>ninguém será obrigado a fazer ou deixar de fazer alguma coisa senão em virtude de lei</w:t>
      </w:r>
      <w:r>
        <w:rPr>
          <w:rFonts w:asciiTheme="minorHAnsi" w:hAnsiTheme="minorHAnsi" w:cstheme="minorHAnsi"/>
          <w:sz w:val="22"/>
          <w:szCs w:val="22"/>
        </w:rPr>
        <w:t>”.</w:t>
      </w:r>
    </w:p>
    <w:p w14:paraId="3D92FBE1" w14:textId="77777777" w:rsidR="005242F9" w:rsidRDefault="005242F9" w:rsidP="005242F9">
      <w:pPr>
        <w:pStyle w:val="Standard"/>
        <w:spacing w:before="120" w:after="120" w:line="360" w:lineRule="auto"/>
        <w:jc w:val="both"/>
        <w:rPr>
          <w:rFonts w:asciiTheme="minorHAnsi" w:hAnsiTheme="minorHAnsi" w:cstheme="minorHAnsi"/>
          <w:sz w:val="22"/>
          <w:szCs w:val="22"/>
        </w:rPr>
      </w:pPr>
      <w:r>
        <w:rPr>
          <w:rFonts w:asciiTheme="minorHAnsi" w:hAnsiTheme="minorHAnsi" w:cstheme="minorHAnsi"/>
          <w:sz w:val="22"/>
          <w:szCs w:val="22"/>
        </w:rPr>
        <w:tab/>
        <w:t xml:space="preserve">Feitas essas primeiras impressões, observo que a matéria posta sob análise, além de esbarrar no princípio da legalidade, se encontra em correspondência ao princípio constitucional da </w:t>
      </w:r>
      <w:r>
        <w:rPr>
          <w:rFonts w:asciiTheme="minorHAnsi" w:hAnsiTheme="minorHAnsi" w:cstheme="minorHAnsi"/>
          <w:b/>
          <w:bCs/>
          <w:sz w:val="22"/>
          <w:szCs w:val="22"/>
        </w:rPr>
        <w:t>ampla defesa e contraditório</w:t>
      </w:r>
      <w:r>
        <w:rPr>
          <w:rFonts w:asciiTheme="minorHAnsi" w:hAnsiTheme="minorHAnsi" w:cstheme="minorHAnsi"/>
          <w:sz w:val="22"/>
          <w:szCs w:val="22"/>
        </w:rPr>
        <w:t xml:space="preserve">, consagrado no artigo 5º, inciso LV, que dispõe: </w:t>
      </w:r>
    </w:p>
    <w:p w14:paraId="4AD5AFCB" w14:textId="77777777" w:rsidR="005242F9" w:rsidRDefault="005242F9" w:rsidP="005242F9">
      <w:pPr>
        <w:pStyle w:val="Standard"/>
        <w:spacing w:before="120" w:after="120" w:line="360" w:lineRule="auto"/>
        <w:ind w:left="3402"/>
        <w:jc w:val="both"/>
        <w:rPr>
          <w:rFonts w:asciiTheme="minorHAnsi" w:hAnsiTheme="minorHAnsi" w:cstheme="minorHAnsi"/>
          <w:sz w:val="22"/>
          <w:szCs w:val="22"/>
        </w:rPr>
      </w:pPr>
    </w:p>
    <w:p w14:paraId="02C5DC69" w14:textId="77777777" w:rsidR="005242F9" w:rsidRDefault="005242F9" w:rsidP="005242F9">
      <w:pPr>
        <w:pStyle w:val="Standard"/>
        <w:spacing w:before="120" w:after="120"/>
        <w:ind w:left="3402"/>
        <w:jc w:val="both"/>
        <w:rPr>
          <w:rFonts w:ascii="Courier New" w:hAnsi="Courier New" w:cs="Courier New"/>
          <w:sz w:val="22"/>
          <w:szCs w:val="22"/>
        </w:rPr>
      </w:pPr>
      <w:r>
        <w:rPr>
          <w:rFonts w:asciiTheme="minorHAnsi" w:hAnsiTheme="minorHAnsi" w:cstheme="minorHAnsi"/>
          <w:sz w:val="22"/>
          <w:szCs w:val="22"/>
        </w:rPr>
        <w:t xml:space="preserve"> </w:t>
      </w:r>
      <w:r>
        <w:rPr>
          <w:rFonts w:ascii="Courier New" w:hAnsi="Courier New" w:cs="Courier New"/>
          <w:sz w:val="22"/>
          <w:szCs w:val="22"/>
        </w:rPr>
        <w:t xml:space="preserve">“LV - aos litigantes, em processo judicial ou administrativo, e aos acusados em geral são assegurados </w:t>
      </w:r>
      <w:r>
        <w:rPr>
          <w:rFonts w:ascii="Courier New" w:hAnsi="Courier New" w:cs="Courier New"/>
          <w:b/>
          <w:bCs/>
          <w:sz w:val="22"/>
          <w:szCs w:val="22"/>
        </w:rPr>
        <w:t>o contraditório e ampla defesa</w:t>
      </w:r>
      <w:r>
        <w:rPr>
          <w:rFonts w:ascii="Courier New" w:hAnsi="Courier New" w:cs="Courier New"/>
          <w:sz w:val="22"/>
          <w:szCs w:val="22"/>
        </w:rPr>
        <w:t xml:space="preserve">, </w:t>
      </w:r>
      <w:r>
        <w:rPr>
          <w:rFonts w:ascii="Courier New" w:hAnsi="Courier New" w:cs="Courier New"/>
          <w:b/>
          <w:bCs/>
          <w:sz w:val="22"/>
          <w:szCs w:val="22"/>
        </w:rPr>
        <w:t xml:space="preserve">com os meios e recursos a ela </w:t>
      </w:r>
      <w:proofErr w:type="gramStart"/>
      <w:r>
        <w:rPr>
          <w:rFonts w:ascii="Courier New" w:hAnsi="Courier New" w:cs="Courier New"/>
          <w:b/>
          <w:bCs/>
          <w:sz w:val="22"/>
          <w:szCs w:val="22"/>
        </w:rPr>
        <w:t>inerentes</w:t>
      </w:r>
      <w:r>
        <w:rPr>
          <w:rFonts w:ascii="Courier New" w:hAnsi="Courier New" w:cs="Courier New"/>
          <w:sz w:val="22"/>
          <w:szCs w:val="22"/>
        </w:rPr>
        <w:t>;”</w:t>
      </w:r>
      <w:proofErr w:type="gramEnd"/>
      <w:r>
        <w:rPr>
          <w:rFonts w:ascii="Courier New" w:hAnsi="Courier New" w:cs="Courier New"/>
          <w:sz w:val="22"/>
          <w:szCs w:val="22"/>
        </w:rPr>
        <w:t xml:space="preserve"> (grifei)</w:t>
      </w:r>
    </w:p>
    <w:p w14:paraId="7BA55D91" w14:textId="77777777" w:rsidR="005242F9" w:rsidRDefault="005242F9" w:rsidP="005242F9">
      <w:pPr>
        <w:pStyle w:val="Standard"/>
        <w:spacing w:before="120" w:after="120" w:line="360" w:lineRule="auto"/>
        <w:rPr>
          <w:rFonts w:asciiTheme="minorHAnsi" w:hAnsiTheme="minorHAnsi" w:cstheme="minorHAnsi"/>
          <w:sz w:val="22"/>
          <w:szCs w:val="22"/>
        </w:rPr>
      </w:pPr>
    </w:p>
    <w:p w14:paraId="12037114" w14:textId="77777777" w:rsidR="005242F9" w:rsidRDefault="005242F9" w:rsidP="005242F9">
      <w:pPr>
        <w:pStyle w:val="Standard"/>
        <w:spacing w:before="120" w:after="120" w:line="360" w:lineRule="auto"/>
        <w:ind w:firstLine="1418"/>
        <w:jc w:val="both"/>
        <w:rPr>
          <w:rFonts w:asciiTheme="minorHAnsi" w:hAnsiTheme="minorHAnsi" w:cstheme="minorHAnsi"/>
          <w:sz w:val="22"/>
          <w:szCs w:val="22"/>
        </w:rPr>
      </w:pPr>
      <w:r>
        <w:rPr>
          <w:rFonts w:asciiTheme="minorHAnsi" w:hAnsiTheme="minorHAnsi" w:cstheme="minorHAnsi"/>
          <w:sz w:val="22"/>
          <w:szCs w:val="22"/>
        </w:rPr>
        <w:t xml:space="preserve">E é justamente nesse disposto constitucional, que nasce o direito das partes de empregar </w:t>
      </w:r>
      <w:r>
        <w:rPr>
          <w:rFonts w:asciiTheme="minorHAnsi" w:hAnsiTheme="minorHAnsi" w:cstheme="minorHAnsi"/>
          <w:b/>
          <w:bCs/>
          <w:sz w:val="22"/>
          <w:szCs w:val="22"/>
        </w:rPr>
        <w:t>todos os meios legais, para provar a verdade dos fatos</w:t>
      </w:r>
      <w:r>
        <w:rPr>
          <w:rFonts w:asciiTheme="minorHAnsi" w:hAnsiTheme="minorHAnsi" w:cstheme="minorHAnsi"/>
          <w:sz w:val="22"/>
          <w:szCs w:val="22"/>
        </w:rPr>
        <w:t xml:space="preserve">, abarcados, em âmbito civil, pela lei 13.105/2015 - Código de Processo Civil, e Lei 10.406/2002 – Código Civil, vejamos: </w:t>
      </w:r>
    </w:p>
    <w:p w14:paraId="2915B7F3" w14:textId="77777777" w:rsidR="005242F9" w:rsidRDefault="005242F9" w:rsidP="005242F9">
      <w:pPr>
        <w:pStyle w:val="Standard"/>
        <w:spacing w:before="120" w:after="120" w:line="360" w:lineRule="auto"/>
        <w:ind w:left="3402"/>
        <w:jc w:val="both"/>
        <w:rPr>
          <w:rFonts w:ascii="Courier New" w:hAnsi="Courier New" w:cs="Courier New"/>
          <w:sz w:val="22"/>
          <w:szCs w:val="22"/>
        </w:rPr>
      </w:pPr>
    </w:p>
    <w:p w14:paraId="413EBB25" w14:textId="77777777" w:rsidR="005242F9" w:rsidRDefault="005242F9" w:rsidP="005242F9">
      <w:pPr>
        <w:pStyle w:val="Standard"/>
        <w:spacing w:before="120" w:after="120"/>
        <w:ind w:left="3402"/>
        <w:jc w:val="both"/>
        <w:rPr>
          <w:rFonts w:ascii="Courier New" w:hAnsi="Courier New" w:cs="Courier New"/>
          <w:sz w:val="22"/>
          <w:szCs w:val="22"/>
        </w:rPr>
      </w:pPr>
      <w:r>
        <w:rPr>
          <w:rFonts w:ascii="Courier New" w:hAnsi="Courier New" w:cs="Courier New"/>
          <w:sz w:val="22"/>
          <w:szCs w:val="22"/>
        </w:rPr>
        <w:t xml:space="preserve">CPC - Art. 369. “As partes </w:t>
      </w:r>
      <w:r>
        <w:rPr>
          <w:rFonts w:ascii="Courier New" w:hAnsi="Courier New" w:cs="Courier New"/>
          <w:b/>
          <w:bCs/>
          <w:sz w:val="22"/>
          <w:szCs w:val="22"/>
        </w:rPr>
        <w:t>têm o direito</w:t>
      </w:r>
      <w:r>
        <w:rPr>
          <w:rFonts w:ascii="Courier New" w:hAnsi="Courier New" w:cs="Courier New"/>
          <w:sz w:val="22"/>
          <w:szCs w:val="22"/>
        </w:rPr>
        <w:t xml:space="preserve"> de empregar </w:t>
      </w:r>
      <w:r>
        <w:rPr>
          <w:rFonts w:ascii="Courier New" w:hAnsi="Courier New" w:cs="Courier New"/>
          <w:b/>
          <w:bCs/>
          <w:sz w:val="22"/>
          <w:szCs w:val="22"/>
        </w:rPr>
        <w:t>todos os meios legais, bem como os moralmente legítimos</w:t>
      </w:r>
      <w:r>
        <w:rPr>
          <w:rFonts w:ascii="Courier New" w:hAnsi="Courier New" w:cs="Courier New"/>
          <w:sz w:val="22"/>
          <w:szCs w:val="22"/>
        </w:rPr>
        <w:t xml:space="preserve">, </w:t>
      </w:r>
      <w:r>
        <w:rPr>
          <w:rFonts w:ascii="Courier New" w:hAnsi="Courier New" w:cs="Courier New"/>
          <w:b/>
          <w:bCs/>
          <w:sz w:val="22"/>
          <w:szCs w:val="22"/>
          <w:u w:val="single"/>
        </w:rPr>
        <w:t>ainda que não especificados neste Código</w:t>
      </w:r>
      <w:r>
        <w:rPr>
          <w:rFonts w:ascii="Courier New" w:hAnsi="Courier New" w:cs="Courier New"/>
          <w:sz w:val="22"/>
          <w:szCs w:val="22"/>
        </w:rPr>
        <w:t xml:space="preserve">, para </w:t>
      </w:r>
      <w:r>
        <w:rPr>
          <w:rFonts w:ascii="Courier New" w:hAnsi="Courier New" w:cs="Courier New"/>
          <w:b/>
          <w:bCs/>
          <w:sz w:val="22"/>
          <w:szCs w:val="22"/>
        </w:rPr>
        <w:t>provar a verdade dos fatos</w:t>
      </w:r>
      <w:r>
        <w:rPr>
          <w:rFonts w:ascii="Courier New" w:hAnsi="Courier New" w:cs="Courier New"/>
          <w:sz w:val="22"/>
          <w:szCs w:val="22"/>
        </w:rPr>
        <w:t xml:space="preserve"> em que se funda o pedido ou a defesa e influir eficazmente na convicção do </w:t>
      </w:r>
      <w:proofErr w:type="gramStart"/>
      <w:r>
        <w:rPr>
          <w:rFonts w:ascii="Courier New" w:hAnsi="Courier New" w:cs="Courier New"/>
          <w:sz w:val="22"/>
          <w:szCs w:val="22"/>
        </w:rPr>
        <w:t>juiz.”</w:t>
      </w:r>
      <w:proofErr w:type="gramEnd"/>
      <w:r>
        <w:rPr>
          <w:rFonts w:ascii="Courier New" w:hAnsi="Courier New" w:cs="Courier New"/>
          <w:sz w:val="22"/>
          <w:szCs w:val="22"/>
        </w:rPr>
        <w:t xml:space="preserve"> (</w:t>
      </w:r>
      <w:proofErr w:type="gramStart"/>
      <w:r>
        <w:rPr>
          <w:rFonts w:ascii="Courier New" w:hAnsi="Courier New" w:cs="Courier New"/>
          <w:sz w:val="22"/>
          <w:szCs w:val="22"/>
        </w:rPr>
        <w:t>grifei</w:t>
      </w:r>
      <w:proofErr w:type="gramEnd"/>
      <w:r>
        <w:rPr>
          <w:rFonts w:ascii="Courier New" w:hAnsi="Courier New" w:cs="Courier New"/>
          <w:sz w:val="22"/>
          <w:szCs w:val="22"/>
        </w:rPr>
        <w:t>)</w:t>
      </w:r>
    </w:p>
    <w:p w14:paraId="1E9E5A6D" w14:textId="77777777" w:rsidR="005242F9" w:rsidRDefault="005242F9" w:rsidP="005242F9">
      <w:pPr>
        <w:pStyle w:val="Standard"/>
        <w:spacing w:before="120" w:after="120" w:line="360" w:lineRule="auto"/>
        <w:rPr>
          <w:rFonts w:asciiTheme="minorHAnsi" w:hAnsiTheme="minorHAnsi" w:cstheme="minorHAnsi"/>
          <w:sz w:val="22"/>
          <w:szCs w:val="22"/>
        </w:rPr>
      </w:pPr>
    </w:p>
    <w:p w14:paraId="3BFFD539" w14:textId="77777777" w:rsidR="005242F9" w:rsidRDefault="005242F9" w:rsidP="005242F9">
      <w:pPr>
        <w:pStyle w:val="Standard"/>
        <w:spacing w:before="120" w:after="120" w:line="360" w:lineRule="auto"/>
        <w:ind w:firstLine="1418"/>
        <w:rPr>
          <w:rFonts w:asciiTheme="minorHAnsi" w:hAnsiTheme="minorHAnsi" w:cstheme="minorHAnsi"/>
          <w:sz w:val="22"/>
          <w:szCs w:val="22"/>
        </w:rPr>
      </w:pPr>
      <w:r>
        <w:rPr>
          <w:rFonts w:asciiTheme="minorHAnsi" w:hAnsiTheme="minorHAnsi" w:cstheme="minorHAnsi"/>
          <w:sz w:val="22"/>
          <w:szCs w:val="22"/>
        </w:rPr>
        <w:t xml:space="preserve">O Código Civil, por sua vez, estabelece que: </w:t>
      </w:r>
    </w:p>
    <w:p w14:paraId="60A3CC70" w14:textId="77777777" w:rsidR="005242F9" w:rsidRDefault="005242F9" w:rsidP="005242F9">
      <w:pPr>
        <w:pStyle w:val="Standard"/>
        <w:spacing w:before="120" w:after="120" w:line="360" w:lineRule="auto"/>
        <w:ind w:firstLine="1418"/>
        <w:rPr>
          <w:rFonts w:asciiTheme="minorHAnsi" w:hAnsiTheme="minorHAnsi" w:cstheme="minorHAnsi"/>
          <w:sz w:val="22"/>
          <w:szCs w:val="22"/>
        </w:rPr>
      </w:pPr>
    </w:p>
    <w:p w14:paraId="06E6D1A3" w14:textId="77777777" w:rsidR="005242F9" w:rsidRDefault="005242F9" w:rsidP="005242F9">
      <w:pPr>
        <w:pStyle w:val="Standard"/>
        <w:spacing w:before="120" w:after="120"/>
        <w:ind w:left="3402"/>
        <w:jc w:val="both"/>
        <w:rPr>
          <w:rFonts w:ascii="Courier New" w:hAnsi="Courier New" w:cs="Courier New"/>
          <w:sz w:val="22"/>
          <w:szCs w:val="22"/>
        </w:rPr>
      </w:pPr>
      <w:r>
        <w:rPr>
          <w:rFonts w:ascii="Courier New" w:hAnsi="Courier New" w:cs="Courier New"/>
          <w:sz w:val="22"/>
          <w:szCs w:val="22"/>
        </w:rPr>
        <w:t>“Art. 212. Salvo o negócio a que se impõe forma especial, o fato jurídico pode ser provado mediante:</w:t>
      </w:r>
    </w:p>
    <w:p w14:paraId="600511BC" w14:textId="77777777" w:rsidR="005242F9" w:rsidRDefault="005242F9" w:rsidP="005242F9">
      <w:pPr>
        <w:pStyle w:val="Standard"/>
        <w:spacing w:before="120" w:after="120"/>
        <w:ind w:left="3402"/>
        <w:jc w:val="both"/>
        <w:rPr>
          <w:rFonts w:ascii="Courier New" w:hAnsi="Courier New" w:cs="Courier New"/>
          <w:sz w:val="22"/>
          <w:szCs w:val="22"/>
        </w:rPr>
      </w:pPr>
      <w:r>
        <w:rPr>
          <w:rFonts w:ascii="Courier New" w:hAnsi="Courier New" w:cs="Courier New"/>
          <w:sz w:val="22"/>
          <w:szCs w:val="22"/>
        </w:rPr>
        <w:t xml:space="preserve">I - </w:t>
      </w:r>
      <w:proofErr w:type="gramStart"/>
      <w:r>
        <w:rPr>
          <w:rFonts w:ascii="Courier New" w:hAnsi="Courier New" w:cs="Courier New"/>
          <w:sz w:val="22"/>
          <w:szCs w:val="22"/>
        </w:rPr>
        <w:t>confissão</w:t>
      </w:r>
      <w:proofErr w:type="gramEnd"/>
      <w:r>
        <w:rPr>
          <w:rFonts w:ascii="Courier New" w:hAnsi="Courier New" w:cs="Courier New"/>
          <w:sz w:val="22"/>
          <w:szCs w:val="22"/>
        </w:rPr>
        <w:t>;</w:t>
      </w:r>
    </w:p>
    <w:p w14:paraId="3D8649FD" w14:textId="77777777" w:rsidR="005242F9" w:rsidRDefault="005242F9" w:rsidP="005242F9">
      <w:pPr>
        <w:pStyle w:val="Standard"/>
        <w:spacing w:before="120" w:after="120"/>
        <w:ind w:left="3402"/>
        <w:rPr>
          <w:rFonts w:ascii="Courier New" w:hAnsi="Courier New" w:cs="Courier New"/>
          <w:sz w:val="22"/>
          <w:szCs w:val="22"/>
        </w:rPr>
      </w:pPr>
      <w:r>
        <w:rPr>
          <w:rFonts w:ascii="Courier New" w:hAnsi="Courier New" w:cs="Courier New"/>
          <w:sz w:val="22"/>
          <w:szCs w:val="22"/>
        </w:rPr>
        <w:t xml:space="preserve">II - </w:t>
      </w:r>
      <w:proofErr w:type="gramStart"/>
      <w:r>
        <w:rPr>
          <w:rFonts w:ascii="Courier New" w:hAnsi="Courier New" w:cs="Courier New"/>
          <w:sz w:val="22"/>
          <w:szCs w:val="22"/>
        </w:rPr>
        <w:t>documento</w:t>
      </w:r>
      <w:proofErr w:type="gramEnd"/>
      <w:r>
        <w:rPr>
          <w:rFonts w:ascii="Courier New" w:hAnsi="Courier New" w:cs="Courier New"/>
          <w:sz w:val="22"/>
          <w:szCs w:val="22"/>
        </w:rPr>
        <w:t>;</w:t>
      </w:r>
    </w:p>
    <w:p w14:paraId="63D14FF1" w14:textId="77777777" w:rsidR="005242F9" w:rsidRDefault="005242F9" w:rsidP="005242F9">
      <w:pPr>
        <w:pStyle w:val="Standard"/>
        <w:spacing w:before="120" w:after="120"/>
        <w:ind w:left="3402"/>
        <w:rPr>
          <w:rFonts w:ascii="Courier New" w:hAnsi="Courier New" w:cs="Courier New"/>
          <w:sz w:val="22"/>
          <w:szCs w:val="22"/>
        </w:rPr>
      </w:pPr>
      <w:r>
        <w:rPr>
          <w:rFonts w:ascii="Courier New" w:hAnsi="Courier New" w:cs="Courier New"/>
          <w:sz w:val="22"/>
          <w:szCs w:val="22"/>
        </w:rPr>
        <w:lastRenderedPageBreak/>
        <w:t>III - testemunha;</w:t>
      </w:r>
    </w:p>
    <w:p w14:paraId="07025AFA" w14:textId="77777777" w:rsidR="005242F9" w:rsidRDefault="005242F9" w:rsidP="005242F9">
      <w:pPr>
        <w:pStyle w:val="Standard"/>
        <w:spacing w:before="120" w:after="120"/>
        <w:ind w:left="3402"/>
        <w:rPr>
          <w:rFonts w:ascii="Courier New" w:hAnsi="Courier New" w:cs="Courier New"/>
          <w:sz w:val="22"/>
          <w:szCs w:val="22"/>
        </w:rPr>
      </w:pPr>
      <w:r>
        <w:rPr>
          <w:rFonts w:ascii="Courier New" w:hAnsi="Courier New" w:cs="Courier New"/>
          <w:sz w:val="22"/>
          <w:szCs w:val="22"/>
        </w:rPr>
        <w:t xml:space="preserve">IV - </w:t>
      </w:r>
      <w:proofErr w:type="gramStart"/>
      <w:r>
        <w:rPr>
          <w:rFonts w:ascii="Courier New" w:hAnsi="Courier New" w:cs="Courier New"/>
          <w:sz w:val="22"/>
          <w:szCs w:val="22"/>
        </w:rPr>
        <w:t>presunção</w:t>
      </w:r>
      <w:proofErr w:type="gramEnd"/>
      <w:r>
        <w:rPr>
          <w:rFonts w:ascii="Courier New" w:hAnsi="Courier New" w:cs="Courier New"/>
          <w:sz w:val="22"/>
          <w:szCs w:val="22"/>
        </w:rPr>
        <w:t>;</w:t>
      </w:r>
    </w:p>
    <w:p w14:paraId="0068CAFE" w14:textId="77777777" w:rsidR="005242F9" w:rsidRDefault="005242F9" w:rsidP="005242F9">
      <w:pPr>
        <w:pStyle w:val="Standard"/>
        <w:spacing w:before="120" w:after="120"/>
        <w:ind w:left="3402"/>
        <w:rPr>
          <w:rFonts w:ascii="Courier New" w:hAnsi="Courier New" w:cs="Courier New"/>
          <w:sz w:val="22"/>
          <w:szCs w:val="22"/>
        </w:rPr>
      </w:pPr>
      <w:r>
        <w:rPr>
          <w:rFonts w:ascii="Courier New" w:hAnsi="Courier New" w:cs="Courier New"/>
          <w:sz w:val="22"/>
          <w:szCs w:val="22"/>
        </w:rPr>
        <w:t xml:space="preserve">V - </w:t>
      </w:r>
      <w:proofErr w:type="gramStart"/>
      <w:r>
        <w:rPr>
          <w:rFonts w:ascii="Courier New" w:hAnsi="Courier New" w:cs="Courier New"/>
          <w:sz w:val="22"/>
          <w:szCs w:val="22"/>
        </w:rPr>
        <w:t>perícia.”</w:t>
      </w:r>
      <w:proofErr w:type="gramEnd"/>
    </w:p>
    <w:p w14:paraId="4F401F28" w14:textId="77777777" w:rsidR="005242F9" w:rsidRDefault="005242F9" w:rsidP="005242F9">
      <w:pPr>
        <w:pStyle w:val="Standard"/>
        <w:spacing w:before="120" w:after="120"/>
        <w:ind w:left="3402"/>
        <w:rPr>
          <w:rFonts w:ascii="Courier New" w:hAnsi="Courier New" w:cs="Courier New"/>
          <w:sz w:val="22"/>
          <w:szCs w:val="22"/>
        </w:rPr>
      </w:pPr>
    </w:p>
    <w:p w14:paraId="69F813CD" w14:textId="77777777" w:rsidR="005242F9" w:rsidRDefault="005242F9" w:rsidP="005242F9">
      <w:pPr>
        <w:pStyle w:val="Standard"/>
        <w:spacing w:before="120" w:after="120"/>
        <w:ind w:left="3402"/>
        <w:jc w:val="both"/>
        <w:rPr>
          <w:rFonts w:ascii="Courier New" w:hAnsi="Courier New" w:cs="Courier New"/>
          <w:sz w:val="22"/>
          <w:szCs w:val="22"/>
        </w:rPr>
      </w:pPr>
      <w:r>
        <w:rPr>
          <w:rFonts w:ascii="Courier New" w:hAnsi="Courier New" w:cs="Courier New"/>
          <w:sz w:val="22"/>
          <w:szCs w:val="22"/>
        </w:rPr>
        <w:t xml:space="preserve">“Art. 225. </w:t>
      </w:r>
      <w:r>
        <w:rPr>
          <w:rFonts w:ascii="Courier New" w:hAnsi="Courier New" w:cs="Courier New"/>
          <w:b/>
          <w:bCs/>
          <w:sz w:val="22"/>
          <w:szCs w:val="22"/>
        </w:rPr>
        <w:t xml:space="preserve">As reproduções fotográficas, cinematográficas, os registros fonográficos e, em geral, quaisquer outras reproduções mecânicas ou </w:t>
      </w:r>
      <w:r>
        <w:rPr>
          <w:rFonts w:ascii="Courier New" w:hAnsi="Courier New" w:cs="Courier New"/>
          <w:b/>
          <w:bCs/>
          <w:sz w:val="22"/>
          <w:szCs w:val="22"/>
          <w:u w:val="single"/>
        </w:rPr>
        <w:t>eletrônicas de fatos ou de coisas fazem prova plena destes</w:t>
      </w:r>
      <w:r>
        <w:rPr>
          <w:rFonts w:ascii="Courier New" w:hAnsi="Courier New" w:cs="Courier New"/>
          <w:sz w:val="22"/>
          <w:szCs w:val="22"/>
        </w:rPr>
        <w:t xml:space="preserve">, se a parte, contra quem forem exibidos, não lhes impugnar a </w:t>
      </w:r>
      <w:proofErr w:type="gramStart"/>
      <w:r>
        <w:rPr>
          <w:rFonts w:ascii="Courier New" w:hAnsi="Courier New" w:cs="Courier New"/>
          <w:sz w:val="22"/>
          <w:szCs w:val="22"/>
        </w:rPr>
        <w:t>exatidão.”</w:t>
      </w:r>
      <w:proofErr w:type="gramEnd"/>
      <w:r>
        <w:rPr>
          <w:rFonts w:ascii="Courier New" w:hAnsi="Courier New" w:cs="Courier New"/>
          <w:sz w:val="22"/>
          <w:szCs w:val="22"/>
        </w:rPr>
        <w:t xml:space="preserve"> (</w:t>
      </w:r>
      <w:proofErr w:type="gramStart"/>
      <w:r>
        <w:rPr>
          <w:rFonts w:ascii="Courier New" w:hAnsi="Courier New" w:cs="Courier New"/>
          <w:sz w:val="22"/>
          <w:szCs w:val="22"/>
        </w:rPr>
        <w:t>grifei</w:t>
      </w:r>
      <w:proofErr w:type="gramEnd"/>
      <w:r>
        <w:rPr>
          <w:rFonts w:ascii="Courier New" w:hAnsi="Courier New" w:cs="Courier New"/>
          <w:sz w:val="22"/>
          <w:szCs w:val="22"/>
        </w:rPr>
        <w:t>)</w:t>
      </w:r>
    </w:p>
    <w:p w14:paraId="6D1C98A1" w14:textId="77777777" w:rsidR="005242F9" w:rsidRDefault="005242F9" w:rsidP="005242F9">
      <w:pPr>
        <w:pStyle w:val="Standard"/>
        <w:spacing w:before="120" w:after="120" w:line="360" w:lineRule="auto"/>
        <w:jc w:val="center"/>
        <w:rPr>
          <w:rFonts w:asciiTheme="minorHAnsi" w:hAnsiTheme="minorHAnsi" w:cstheme="minorHAnsi"/>
          <w:b/>
          <w:bCs/>
          <w:sz w:val="22"/>
          <w:szCs w:val="22"/>
        </w:rPr>
      </w:pPr>
    </w:p>
    <w:p w14:paraId="7D184DAC" w14:textId="77777777" w:rsidR="005242F9" w:rsidRDefault="005242F9" w:rsidP="005242F9">
      <w:pPr>
        <w:pStyle w:val="Standard"/>
        <w:spacing w:before="120" w:after="120" w:line="360" w:lineRule="auto"/>
        <w:ind w:firstLine="1418"/>
        <w:jc w:val="both"/>
        <w:rPr>
          <w:rFonts w:asciiTheme="minorHAnsi" w:hAnsiTheme="minorHAnsi" w:cstheme="minorHAnsi"/>
          <w:sz w:val="22"/>
          <w:szCs w:val="22"/>
        </w:rPr>
      </w:pPr>
      <w:r>
        <w:rPr>
          <w:rFonts w:asciiTheme="minorHAnsi" w:hAnsiTheme="minorHAnsi" w:cstheme="minorHAnsi"/>
          <w:sz w:val="22"/>
          <w:szCs w:val="22"/>
        </w:rPr>
        <w:t>Em âmbito administrativo, especificamente, verifica-se que o direito à ampla defesa, contraditório e direito à produção de provas, foram disciplinados pela Lei nº 9.784, de 29 de janeiro de 1999, que regula o processo administrativo no âmbito da administração pública federal, e, pela Lei Estadual, 13.800 de 18 de janeiro de 2001, conforme a seguir:</w:t>
      </w:r>
    </w:p>
    <w:p w14:paraId="2868C2FC" w14:textId="77777777" w:rsidR="005242F9" w:rsidRDefault="005242F9" w:rsidP="005242F9">
      <w:pPr>
        <w:pStyle w:val="Standard"/>
        <w:spacing w:before="120" w:after="120" w:line="360" w:lineRule="auto"/>
        <w:ind w:firstLine="1418"/>
        <w:jc w:val="both"/>
        <w:rPr>
          <w:rFonts w:asciiTheme="minorHAnsi" w:hAnsiTheme="minorHAnsi" w:cstheme="minorHAnsi"/>
          <w:sz w:val="22"/>
          <w:szCs w:val="22"/>
        </w:rPr>
      </w:pPr>
    </w:p>
    <w:p w14:paraId="560D0EFE" w14:textId="77777777" w:rsidR="005242F9" w:rsidRDefault="005242F9" w:rsidP="005242F9">
      <w:pPr>
        <w:pStyle w:val="Standard"/>
        <w:spacing w:before="120" w:after="120"/>
        <w:ind w:left="3402"/>
        <w:jc w:val="both"/>
        <w:rPr>
          <w:rFonts w:ascii="Courier New" w:hAnsi="Courier New" w:cs="Courier New"/>
          <w:sz w:val="22"/>
          <w:szCs w:val="22"/>
        </w:rPr>
      </w:pPr>
      <w:r>
        <w:rPr>
          <w:rFonts w:ascii="Courier New" w:hAnsi="Courier New" w:cs="Courier New"/>
          <w:sz w:val="22"/>
          <w:szCs w:val="22"/>
        </w:rPr>
        <w:t>Lei nº 9.784/99, Art. 2º- (..)</w:t>
      </w:r>
    </w:p>
    <w:p w14:paraId="4E05111F" w14:textId="77777777" w:rsidR="005242F9" w:rsidRDefault="005242F9" w:rsidP="005242F9">
      <w:pPr>
        <w:pStyle w:val="Standard"/>
        <w:spacing w:before="120" w:after="120"/>
        <w:ind w:left="3402"/>
        <w:jc w:val="both"/>
        <w:rPr>
          <w:rFonts w:ascii="Courier New" w:hAnsi="Courier New" w:cs="Courier New"/>
          <w:sz w:val="22"/>
          <w:szCs w:val="22"/>
        </w:rPr>
      </w:pPr>
      <w:r>
        <w:rPr>
          <w:rFonts w:ascii="Courier New" w:hAnsi="Courier New" w:cs="Courier New"/>
          <w:sz w:val="22"/>
          <w:szCs w:val="22"/>
        </w:rPr>
        <w:t>(...)</w:t>
      </w:r>
    </w:p>
    <w:p w14:paraId="336EACDA" w14:textId="77777777" w:rsidR="005242F9" w:rsidRDefault="005242F9" w:rsidP="005242F9">
      <w:pPr>
        <w:pStyle w:val="Standard"/>
        <w:spacing w:before="120" w:after="120"/>
        <w:ind w:left="3402"/>
        <w:jc w:val="both"/>
        <w:rPr>
          <w:rFonts w:ascii="Courier New" w:hAnsi="Courier New" w:cs="Courier New"/>
          <w:sz w:val="22"/>
          <w:szCs w:val="22"/>
        </w:rPr>
      </w:pPr>
      <w:r>
        <w:rPr>
          <w:rFonts w:ascii="Courier New" w:hAnsi="Courier New" w:cs="Courier New"/>
          <w:sz w:val="22"/>
          <w:szCs w:val="22"/>
        </w:rPr>
        <w:t xml:space="preserve">Parágrafo único - </w:t>
      </w:r>
      <w:r>
        <w:rPr>
          <w:rFonts w:ascii="Courier New" w:hAnsi="Courier New" w:cs="Courier New"/>
          <w:b/>
          <w:bCs/>
          <w:sz w:val="22"/>
          <w:szCs w:val="22"/>
        </w:rPr>
        <w:t>Nos processos administrativos</w:t>
      </w:r>
      <w:r>
        <w:rPr>
          <w:rFonts w:ascii="Courier New" w:hAnsi="Courier New" w:cs="Courier New"/>
          <w:sz w:val="22"/>
          <w:szCs w:val="22"/>
        </w:rPr>
        <w:t xml:space="preserve"> serão observados, entre outros, os critérios de:</w:t>
      </w:r>
    </w:p>
    <w:p w14:paraId="37E9F1D3" w14:textId="77777777" w:rsidR="005242F9" w:rsidRDefault="005242F9" w:rsidP="005242F9">
      <w:pPr>
        <w:pStyle w:val="Standard"/>
        <w:spacing w:before="120" w:after="120"/>
        <w:ind w:left="3402"/>
        <w:jc w:val="both"/>
        <w:rPr>
          <w:rFonts w:ascii="Courier New" w:hAnsi="Courier New" w:cs="Courier New"/>
          <w:sz w:val="22"/>
          <w:szCs w:val="22"/>
        </w:rPr>
      </w:pPr>
      <w:r>
        <w:rPr>
          <w:rFonts w:ascii="Courier New" w:hAnsi="Courier New" w:cs="Courier New"/>
          <w:sz w:val="22"/>
          <w:szCs w:val="22"/>
        </w:rPr>
        <w:t>(...)</w:t>
      </w:r>
    </w:p>
    <w:p w14:paraId="24EF0232" w14:textId="77777777" w:rsidR="005242F9" w:rsidRDefault="005242F9" w:rsidP="005242F9">
      <w:pPr>
        <w:pStyle w:val="Standard"/>
        <w:spacing w:before="120" w:after="120"/>
        <w:ind w:left="3402"/>
        <w:jc w:val="both"/>
        <w:rPr>
          <w:rFonts w:ascii="Courier New" w:hAnsi="Courier New" w:cs="Courier New"/>
          <w:sz w:val="22"/>
          <w:szCs w:val="22"/>
        </w:rPr>
      </w:pPr>
      <w:r>
        <w:rPr>
          <w:rFonts w:ascii="Courier New" w:hAnsi="Courier New" w:cs="Courier New"/>
          <w:sz w:val="22"/>
          <w:szCs w:val="22"/>
        </w:rPr>
        <w:t xml:space="preserve">X - </w:t>
      </w:r>
      <w:proofErr w:type="gramStart"/>
      <w:r>
        <w:rPr>
          <w:rFonts w:ascii="Courier New" w:hAnsi="Courier New" w:cs="Courier New"/>
          <w:sz w:val="22"/>
          <w:szCs w:val="22"/>
        </w:rPr>
        <w:t>garantia</w:t>
      </w:r>
      <w:proofErr w:type="gramEnd"/>
      <w:r>
        <w:rPr>
          <w:rFonts w:ascii="Courier New" w:hAnsi="Courier New" w:cs="Courier New"/>
          <w:sz w:val="22"/>
          <w:szCs w:val="22"/>
        </w:rPr>
        <w:t xml:space="preserve"> dos direitos à comunicação, à </w:t>
      </w:r>
      <w:r>
        <w:rPr>
          <w:rFonts w:ascii="Courier New" w:hAnsi="Courier New" w:cs="Courier New"/>
          <w:b/>
          <w:bCs/>
          <w:sz w:val="22"/>
          <w:szCs w:val="22"/>
        </w:rPr>
        <w:t>apresentação de alegações finais</w:t>
      </w:r>
      <w:r>
        <w:rPr>
          <w:rFonts w:ascii="Courier New" w:hAnsi="Courier New" w:cs="Courier New"/>
          <w:sz w:val="22"/>
          <w:szCs w:val="22"/>
        </w:rPr>
        <w:t xml:space="preserve">, </w:t>
      </w:r>
      <w:r>
        <w:rPr>
          <w:rFonts w:ascii="Courier New" w:hAnsi="Courier New" w:cs="Courier New"/>
          <w:b/>
          <w:bCs/>
          <w:sz w:val="22"/>
          <w:szCs w:val="22"/>
        </w:rPr>
        <w:t>à produção de provas</w:t>
      </w:r>
      <w:r>
        <w:rPr>
          <w:rFonts w:ascii="Courier New" w:hAnsi="Courier New" w:cs="Courier New"/>
          <w:sz w:val="22"/>
          <w:szCs w:val="22"/>
        </w:rPr>
        <w:t xml:space="preserve"> e à </w:t>
      </w:r>
      <w:r>
        <w:rPr>
          <w:rFonts w:ascii="Courier New" w:hAnsi="Courier New" w:cs="Courier New"/>
          <w:b/>
          <w:bCs/>
          <w:sz w:val="22"/>
          <w:szCs w:val="22"/>
        </w:rPr>
        <w:t>interposição de recursos,</w:t>
      </w:r>
      <w:r>
        <w:rPr>
          <w:rFonts w:ascii="Courier New" w:hAnsi="Courier New" w:cs="Courier New"/>
          <w:sz w:val="22"/>
          <w:szCs w:val="22"/>
        </w:rPr>
        <w:t xml:space="preserve"> nos processos de que possam </w:t>
      </w:r>
      <w:r>
        <w:rPr>
          <w:rFonts w:ascii="Courier New" w:hAnsi="Courier New" w:cs="Courier New"/>
          <w:b/>
          <w:bCs/>
          <w:sz w:val="22"/>
          <w:szCs w:val="22"/>
        </w:rPr>
        <w:t>resultar sanções</w:t>
      </w:r>
      <w:r>
        <w:rPr>
          <w:rFonts w:ascii="Courier New" w:hAnsi="Courier New" w:cs="Courier New"/>
          <w:sz w:val="22"/>
          <w:szCs w:val="22"/>
        </w:rPr>
        <w:t xml:space="preserve"> e nas situações de litígio;(grifei)</w:t>
      </w:r>
    </w:p>
    <w:p w14:paraId="00340A24" w14:textId="77777777" w:rsidR="005242F9" w:rsidRDefault="005242F9" w:rsidP="005242F9">
      <w:pPr>
        <w:pStyle w:val="Standard"/>
        <w:spacing w:before="120" w:after="120" w:line="360" w:lineRule="auto"/>
        <w:jc w:val="both"/>
        <w:rPr>
          <w:rFonts w:ascii="Courier New" w:hAnsi="Courier New" w:cs="Courier New"/>
          <w:sz w:val="22"/>
          <w:szCs w:val="22"/>
        </w:rPr>
      </w:pPr>
    </w:p>
    <w:p w14:paraId="28DEFE24" w14:textId="4C5CD92D" w:rsidR="005242F9" w:rsidRPr="00744F6A" w:rsidRDefault="005242F9" w:rsidP="00744F6A">
      <w:pPr>
        <w:pStyle w:val="Standard"/>
        <w:spacing w:before="120" w:after="120" w:line="360" w:lineRule="auto"/>
        <w:ind w:firstLine="1418"/>
        <w:jc w:val="both"/>
        <w:rPr>
          <w:rFonts w:asciiTheme="minorHAnsi" w:hAnsiTheme="minorHAnsi" w:cstheme="minorHAnsi"/>
          <w:sz w:val="22"/>
          <w:szCs w:val="22"/>
        </w:rPr>
      </w:pPr>
      <w:r>
        <w:rPr>
          <w:rFonts w:asciiTheme="minorHAnsi" w:hAnsiTheme="minorHAnsi" w:cstheme="minorHAnsi"/>
          <w:sz w:val="22"/>
          <w:szCs w:val="22"/>
        </w:rPr>
        <w:t xml:space="preserve">Em relação à Lei 13.800/2001, é possível identificar tais direitos em vários de seus dispositivos, a saber: </w:t>
      </w:r>
    </w:p>
    <w:p w14:paraId="0DC886B8" w14:textId="77777777" w:rsidR="005242F9" w:rsidRDefault="005242F9" w:rsidP="005242F9">
      <w:pPr>
        <w:pStyle w:val="NormalWeb"/>
        <w:ind w:left="3402"/>
        <w:jc w:val="both"/>
        <w:rPr>
          <w:rFonts w:ascii="Courier New" w:hAnsi="Courier New" w:cs="Courier New"/>
          <w:sz w:val="22"/>
          <w:szCs w:val="22"/>
        </w:rPr>
      </w:pPr>
      <w:r>
        <w:rPr>
          <w:rFonts w:ascii="Courier New" w:hAnsi="Courier New" w:cs="Courier New"/>
          <w:sz w:val="22"/>
          <w:szCs w:val="22"/>
        </w:rPr>
        <w:t>“Art. 2ª – (...)</w:t>
      </w:r>
    </w:p>
    <w:p w14:paraId="60E4F9F0" w14:textId="77777777" w:rsidR="005242F9" w:rsidRDefault="005242F9" w:rsidP="005242F9">
      <w:pPr>
        <w:pStyle w:val="NormalWeb"/>
        <w:ind w:left="3402"/>
        <w:jc w:val="both"/>
        <w:rPr>
          <w:rFonts w:ascii="Courier New" w:hAnsi="Courier New" w:cs="Courier New"/>
          <w:sz w:val="22"/>
          <w:szCs w:val="22"/>
        </w:rPr>
      </w:pPr>
      <w:r>
        <w:rPr>
          <w:rFonts w:ascii="Courier New" w:hAnsi="Courier New" w:cs="Courier New"/>
          <w:sz w:val="22"/>
          <w:szCs w:val="22"/>
        </w:rPr>
        <w:t>Parágrafo único – Nos processos administrativos serão observados, entre outros, os critérios de:</w:t>
      </w:r>
    </w:p>
    <w:p w14:paraId="4B5555C3" w14:textId="77777777" w:rsidR="005242F9" w:rsidRDefault="005242F9" w:rsidP="005242F9">
      <w:pPr>
        <w:pStyle w:val="NormalWeb"/>
        <w:ind w:left="3402"/>
        <w:jc w:val="both"/>
        <w:rPr>
          <w:rFonts w:ascii="Courier New" w:hAnsi="Courier New" w:cs="Courier New"/>
          <w:sz w:val="22"/>
          <w:szCs w:val="22"/>
        </w:rPr>
      </w:pPr>
      <w:r>
        <w:rPr>
          <w:rFonts w:ascii="Courier New" w:hAnsi="Courier New" w:cs="Courier New"/>
          <w:sz w:val="22"/>
          <w:szCs w:val="22"/>
        </w:rPr>
        <w:t xml:space="preserve">X – garantia dos </w:t>
      </w:r>
      <w:r>
        <w:rPr>
          <w:rFonts w:ascii="Courier New" w:hAnsi="Courier New" w:cs="Courier New"/>
          <w:b/>
          <w:bCs/>
          <w:sz w:val="22"/>
          <w:szCs w:val="22"/>
        </w:rPr>
        <w:t>direitos</w:t>
      </w:r>
      <w:r>
        <w:rPr>
          <w:rFonts w:ascii="Courier New" w:hAnsi="Courier New" w:cs="Courier New"/>
          <w:sz w:val="22"/>
          <w:szCs w:val="22"/>
        </w:rPr>
        <w:t xml:space="preserve"> à comunicação, à apresentação de </w:t>
      </w:r>
      <w:r>
        <w:rPr>
          <w:rFonts w:ascii="Courier New" w:hAnsi="Courier New" w:cs="Courier New"/>
          <w:b/>
          <w:bCs/>
          <w:sz w:val="22"/>
          <w:szCs w:val="22"/>
        </w:rPr>
        <w:t>alegações finais, à produção de provas e à interposição de recursos</w:t>
      </w:r>
      <w:r>
        <w:rPr>
          <w:rFonts w:ascii="Courier New" w:hAnsi="Courier New" w:cs="Courier New"/>
          <w:sz w:val="22"/>
          <w:szCs w:val="22"/>
        </w:rPr>
        <w:t xml:space="preserve">, nos processos de que possam </w:t>
      </w:r>
      <w:r>
        <w:rPr>
          <w:rFonts w:ascii="Courier New" w:hAnsi="Courier New" w:cs="Courier New"/>
          <w:b/>
          <w:bCs/>
          <w:sz w:val="22"/>
          <w:szCs w:val="22"/>
        </w:rPr>
        <w:lastRenderedPageBreak/>
        <w:t>resultar sanções</w:t>
      </w:r>
      <w:r>
        <w:rPr>
          <w:rFonts w:ascii="Courier New" w:hAnsi="Courier New" w:cs="Courier New"/>
          <w:sz w:val="22"/>
          <w:szCs w:val="22"/>
        </w:rPr>
        <w:t xml:space="preserve"> e nas situações de </w:t>
      </w:r>
      <w:proofErr w:type="gramStart"/>
      <w:r>
        <w:rPr>
          <w:rFonts w:ascii="Courier New" w:hAnsi="Courier New" w:cs="Courier New"/>
          <w:sz w:val="22"/>
          <w:szCs w:val="22"/>
        </w:rPr>
        <w:t>litígio;”</w:t>
      </w:r>
      <w:proofErr w:type="gramEnd"/>
      <w:r>
        <w:rPr>
          <w:rFonts w:ascii="Courier New" w:hAnsi="Courier New" w:cs="Courier New"/>
          <w:sz w:val="22"/>
          <w:szCs w:val="22"/>
        </w:rPr>
        <w:t xml:space="preserve"> (grifei)</w:t>
      </w:r>
    </w:p>
    <w:p w14:paraId="23C7F10F" w14:textId="77777777" w:rsidR="005242F9" w:rsidRDefault="005242F9" w:rsidP="005242F9">
      <w:pPr>
        <w:pStyle w:val="NormalWeb"/>
        <w:ind w:left="3402"/>
        <w:jc w:val="both"/>
        <w:rPr>
          <w:rFonts w:ascii="Courier New" w:hAnsi="Courier New" w:cs="Courier New"/>
          <w:sz w:val="22"/>
          <w:szCs w:val="22"/>
        </w:rPr>
      </w:pPr>
    </w:p>
    <w:p w14:paraId="48779069" w14:textId="77777777" w:rsidR="005242F9" w:rsidRDefault="005242F9" w:rsidP="005242F9">
      <w:pPr>
        <w:pStyle w:val="NormalWeb"/>
        <w:ind w:left="3402"/>
        <w:jc w:val="both"/>
        <w:rPr>
          <w:rFonts w:ascii="Courier New" w:hAnsi="Courier New" w:cs="Courier New"/>
          <w:sz w:val="22"/>
          <w:szCs w:val="22"/>
        </w:rPr>
      </w:pPr>
      <w:r>
        <w:rPr>
          <w:rFonts w:ascii="Courier New" w:hAnsi="Courier New" w:cs="Courier New"/>
          <w:sz w:val="22"/>
          <w:szCs w:val="22"/>
        </w:rPr>
        <w:t>“Art. 27 (..)</w:t>
      </w:r>
    </w:p>
    <w:p w14:paraId="2DEBDC52" w14:textId="77777777" w:rsidR="005242F9" w:rsidRDefault="005242F9" w:rsidP="005242F9">
      <w:pPr>
        <w:pStyle w:val="NormalWeb"/>
        <w:ind w:left="3402"/>
        <w:jc w:val="both"/>
        <w:rPr>
          <w:rFonts w:ascii="Courier New" w:hAnsi="Courier New" w:cs="Courier New"/>
          <w:sz w:val="22"/>
          <w:szCs w:val="22"/>
        </w:rPr>
      </w:pPr>
      <w:r>
        <w:rPr>
          <w:rFonts w:ascii="Courier New" w:hAnsi="Courier New" w:cs="Courier New"/>
          <w:sz w:val="22"/>
          <w:szCs w:val="22"/>
        </w:rPr>
        <w:t xml:space="preserve">Parágrafo único – No prosseguimento do processo, </w:t>
      </w:r>
      <w:r>
        <w:rPr>
          <w:rFonts w:ascii="Courier New" w:hAnsi="Courier New" w:cs="Courier New"/>
          <w:b/>
          <w:bCs/>
          <w:sz w:val="22"/>
          <w:szCs w:val="22"/>
        </w:rPr>
        <w:t>será garantido</w:t>
      </w:r>
      <w:r>
        <w:rPr>
          <w:rFonts w:ascii="Courier New" w:hAnsi="Courier New" w:cs="Courier New"/>
          <w:sz w:val="22"/>
          <w:szCs w:val="22"/>
        </w:rPr>
        <w:t xml:space="preserve"> </w:t>
      </w:r>
      <w:r>
        <w:rPr>
          <w:rFonts w:ascii="Courier New" w:hAnsi="Courier New" w:cs="Courier New"/>
          <w:b/>
          <w:bCs/>
          <w:sz w:val="22"/>
          <w:szCs w:val="22"/>
        </w:rPr>
        <w:t xml:space="preserve">direito de ampla defesa ao </w:t>
      </w:r>
      <w:proofErr w:type="gramStart"/>
      <w:r>
        <w:rPr>
          <w:rFonts w:ascii="Courier New" w:hAnsi="Courier New" w:cs="Courier New"/>
          <w:b/>
          <w:bCs/>
          <w:sz w:val="22"/>
          <w:szCs w:val="22"/>
        </w:rPr>
        <w:t>interessado</w:t>
      </w:r>
      <w:r>
        <w:rPr>
          <w:rFonts w:ascii="Courier New" w:hAnsi="Courier New" w:cs="Courier New"/>
          <w:sz w:val="22"/>
          <w:szCs w:val="22"/>
        </w:rPr>
        <w:t>.”</w:t>
      </w:r>
      <w:proofErr w:type="gramEnd"/>
      <w:r>
        <w:rPr>
          <w:rFonts w:ascii="Courier New" w:hAnsi="Courier New" w:cs="Courier New"/>
          <w:sz w:val="22"/>
          <w:szCs w:val="22"/>
        </w:rPr>
        <w:t xml:space="preserve"> (</w:t>
      </w:r>
      <w:proofErr w:type="gramStart"/>
      <w:r>
        <w:rPr>
          <w:rFonts w:ascii="Courier New" w:hAnsi="Courier New" w:cs="Courier New"/>
          <w:sz w:val="22"/>
          <w:szCs w:val="22"/>
        </w:rPr>
        <w:t>grifei</w:t>
      </w:r>
      <w:proofErr w:type="gramEnd"/>
      <w:r>
        <w:rPr>
          <w:rFonts w:ascii="Courier New" w:hAnsi="Courier New" w:cs="Courier New"/>
          <w:sz w:val="22"/>
          <w:szCs w:val="22"/>
        </w:rPr>
        <w:t>)</w:t>
      </w:r>
    </w:p>
    <w:p w14:paraId="40C61DC2" w14:textId="77777777" w:rsidR="005242F9" w:rsidRDefault="005242F9" w:rsidP="005242F9">
      <w:pPr>
        <w:pStyle w:val="NormalWeb"/>
        <w:ind w:left="3402"/>
        <w:jc w:val="both"/>
        <w:rPr>
          <w:rFonts w:ascii="Courier New" w:hAnsi="Courier New" w:cs="Courier New"/>
          <w:sz w:val="22"/>
          <w:szCs w:val="22"/>
        </w:rPr>
      </w:pPr>
      <w:r>
        <w:rPr>
          <w:rFonts w:ascii="Courier New" w:hAnsi="Courier New" w:cs="Courier New"/>
          <w:sz w:val="22"/>
          <w:szCs w:val="22"/>
        </w:rPr>
        <w:t xml:space="preserve">“Art. 36. Cabe ao interessado </w:t>
      </w:r>
      <w:r>
        <w:rPr>
          <w:rFonts w:ascii="Courier New" w:hAnsi="Courier New" w:cs="Courier New"/>
          <w:b/>
          <w:bCs/>
          <w:sz w:val="22"/>
          <w:szCs w:val="22"/>
          <w:u w:val="single"/>
        </w:rPr>
        <w:t>a prova dos fatos que tenha alegado</w:t>
      </w:r>
      <w:r>
        <w:rPr>
          <w:rFonts w:ascii="Courier New" w:hAnsi="Courier New" w:cs="Courier New"/>
          <w:sz w:val="22"/>
          <w:szCs w:val="22"/>
        </w:rPr>
        <w:t xml:space="preserve">, sem prejuízo do dever atribuído ao órgão competente para a instrução e do disposto no art. 37 desta </w:t>
      </w:r>
      <w:proofErr w:type="gramStart"/>
      <w:r>
        <w:rPr>
          <w:rFonts w:ascii="Courier New" w:hAnsi="Courier New" w:cs="Courier New"/>
          <w:sz w:val="22"/>
          <w:szCs w:val="22"/>
        </w:rPr>
        <w:t>Lei.”</w:t>
      </w:r>
      <w:proofErr w:type="gramEnd"/>
      <w:r>
        <w:rPr>
          <w:rFonts w:ascii="Courier New" w:hAnsi="Courier New" w:cs="Courier New"/>
          <w:sz w:val="22"/>
          <w:szCs w:val="22"/>
        </w:rPr>
        <w:t xml:space="preserve"> (</w:t>
      </w:r>
      <w:proofErr w:type="gramStart"/>
      <w:r>
        <w:rPr>
          <w:rFonts w:ascii="Courier New" w:hAnsi="Courier New" w:cs="Courier New"/>
          <w:sz w:val="22"/>
          <w:szCs w:val="22"/>
        </w:rPr>
        <w:t>grifei</w:t>
      </w:r>
      <w:proofErr w:type="gramEnd"/>
      <w:r>
        <w:rPr>
          <w:rFonts w:ascii="Courier New" w:hAnsi="Courier New" w:cs="Courier New"/>
          <w:sz w:val="22"/>
          <w:szCs w:val="22"/>
        </w:rPr>
        <w:t>)</w:t>
      </w:r>
    </w:p>
    <w:p w14:paraId="0B7066A2" w14:textId="77777777" w:rsidR="005242F9" w:rsidRDefault="005242F9" w:rsidP="005242F9">
      <w:pPr>
        <w:pStyle w:val="NormalWeb"/>
        <w:ind w:left="3402"/>
        <w:jc w:val="both"/>
        <w:rPr>
          <w:rFonts w:ascii="Courier New" w:hAnsi="Courier New" w:cs="Courier New"/>
          <w:sz w:val="22"/>
          <w:szCs w:val="22"/>
        </w:rPr>
      </w:pPr>
      <w:bookmarkStart w:id="1" w:name="art38"/>
      <w:bookmarkStart w:id="2" w:name="art37"/>
      <w:bookmarkEnd w:id="1"/>
      <w:bookmarkEnd w:id="2"/>
      <w:r>
        <w:rPr>
          <w:rFonts w:ascii="Courier New" w:hAnsi="Courier New" w:cs="Courier New"/>
          <w:sz w:val="22"/>
          <w:szCs w:val="22"/>
        </w:rPr>
        <w:t>....</w:t>
      </w:r>
    </w:p>
    <w:p w14:paraId="721E0F71" w14:textId="77777777" w:rsidR="005242F9" w:rsidRDefault="005242F9" w:rsidP="005242F9">
      <w:pPr>
        <w:pStyle w:val="NormalWeb"/>
        <w:ind w:left="3402"/>
        <w:jc w:val="both"/>
        <w:rPr>
          <w:rFonts w:ascii="Courier New" w:hAnsi="Courier New" w:cs="Courier New"/>
          <w:sz w:val="22"/>
          <w:szCs w:val="22"/>
        </w:rPr>
      </w:pPr>
    </w:p>
    <w:p w14:paraId="064363E8" w14:textId="77777777" w:rsidR="005242F9" w:rsidRDefault="005242F9" w:rsidP="005242F9">
      <w:pPr>
        <w:pStyle w:val="NormalWeb"/>
        <w:ind w:left="3402"/>
        <w:jc w:val="both"/>
        <w:rPr>
          <w:rFonts w:ascii="Courier New" w:hAnsi="Courier New" w:cs="Courier New"/>
          <w:sz w:val="22"/>
          <w:szCs w:val="22"/>
        </w:rPr>
      </w:pPr>
      <w:r>
        <w:rPr>
          <w:rFonts w:ascii="Courier New" w:hAnsi="Courier New" w:cs="Courier New"/>
          <w:sz w:val="22"/>
          <w:szCs w:val="22"/>
        </w:rPr>
        <w:t xml:space="preserve">“Art. 38. </w:t>
      </w:r>
      <w:r>
        <w:rPr>
          <w:rFonts w:ascii="Courier New" w:hAnsi="Courier New" w:cs="Courier New"/>
          <w:b/>
          <w:bCs/>
          <w:sz w:val="22"/>
          <w:szCs w:val="22"/>
        </w:rPr>
        <w:t>O interessado</w:t>
      </w:r>
      <w:r>
        <w:rPr>
          <w:rFonts w:ascii="Courier New" w:hAnsi="Courier New" w:cs="Courier New"/>
          <w:sz w:val="22"/>
          <w:szCs w:val="22"/>
        </w:rPr>
        <w:t xml:space="preserve"> poderá, na fase </w:t>
      </w:r>
      <w:r>
        <w:rPr>
          <w:rFonts w:ascii="Courier New" w:hAnsi="Courier New" w:cs="Courier New"/>
          <w:b/>
          <w:bCs/>
          <w:sz w:val="22"/>
          <w:szCs w:val="22"/>
        </w:rPr>
        <w:t>instrutória</w:t>
      </w:r>
      <w:r>
        <w:rPr>
          <w:rFonts w:ascii="Courier New" w:hAnsi="Courier New" w:cs="Courier New"/>
          <w:sz w:val="22"/>
          <w:szCs w:val="22"/>
        </w:rPr>
        <w:t xml:space="preserve"> e antes da tomada da decisão, </w:t>
      </w:r>
      <w:r>
        <w:rPr>
          <w:rFonts w:ascii="Courier New" w:hAnsi="Courier New" w:cs="Courier New"/>
          <w:b/>
          <w:bCs/>
          <w:sz w:val="22"/>
          <w:szCs w:val="22"/>
        </w:rPr>
        <w:t>juntar documentos e pareceres, requerer diligências e perícias, bem como aduzir alegações</w:t>
      </w:r>
      <w:r>
        <w:rPr>
          <w:rFonts w:ascii="Courier New" w:hAnsi="Courier New" w:cs="Courier New"/>
          <w:sz w:val="22"/>
          <w:szCs w:val="22"/>
        </w:rPr>
        <w:t xml:space="preserve"> referentes à matéria objeto do processo. (</w:t>
      </w:r>
      <w:proofErr w:type="gramStart"/>
      <w:r>
        <w:rPr>
          <w:rFonts w:ascii="Courier New" w:hAnsi="Courier New" w:cs="Courier New"/>
          <w:sz w:val="22"/>
          <w:szCs w:val="22"/>
        </w:rPr>
        <w:t>grifei</w:t>
      </w:r>
      <w:proofErr w:type="gramEnd"/>
      <w:r>
        <w:rPr>
          <w:rFonts w:ascii="Courier New" w:hAnsi="Courier New" w:cs="Courier New"/>
          <w:sz w:val="22"/>
          <w:szCs w:val="22"/>
        </w:rPr>
        <w:t>)</w:t>
      </w:r>
    </w:p>
    <w:p w14:paraId="625C6683" w14:textId="77777777" w:rsidR="005242F9" w:rsidRDefault="005242F9" w:rsidP="005242F9">
      <w:pPr>
        <w:pStyle w:val="NormalWeb"/>
        <w:ind w:left="3402"/>
        <w:jc w:val="both"/>
        <w:rPr>
          <w:rFonts w:ascii="Courier New" w:hAnsi="Courier New" w:cs="Courier New"/>
          <w:sz w:val="22"/>
          <w:szCs w:val="22"/>
        </w:rPr>
      </w:pPr>
      <w:r>
        <w:rPr>
          <w:rFonts w:ascii="Courier New" w:hAnsi="Courier New" w:cs="Courier New"/>
          <w:sz w:val="22"/>
          <w:szCs w:val="22"/>
        </w:rPr>
        <w:t>§ 1</w:t>
      </w:r>
      <w:r>
        <w:rPr>
          <w:rFonts w:ascii="Courier New" w:hAnsi="Courier New" w:cs="Courier New"/>
          <w:sz w:val="22"/>
          <w:szCs w:val="22"/>
          <w:u w:val="single"/>
          <w:vertAlign w:val="superscript"/>
        </w:rPr>
        <w:t>o</w:t>
      </w:r>
      <w:r>
        <w:rPr>
          <w:rFonts w:ascii="Courier New" w:hAnsi="Courier New" w:cs="Courier New"/>
          <w:sz w:val="22"/>
          <w:szCs w:val="22"/>
          <w:vertAlign w:val="superscript"/>
        </w:rPr>
        <w:t xml:space="preserve"> </w:t>
      </w:r>
      <w:r>
        <w:rPr>
          <w:rFonts w:ascii="Courier New" w:hAnsi="Courier New" w:cs="Courier New"/>
          <w:b/>
          <w:bCs/>
          <w:sz w:val="22"/>
          <w:szCs w:val="22"/>
        </w:rPr>
        <w:t>Os elementos probatórios</w:t>
      </w:r>
      <w:r>
        <w:rPr>
          <w:rFonts w:ascii="Courier New" w:hAnsi="Courier New" w:cs="Courier New"/>
          <w:sz w:val="22"/>
          <w:szCs w:val="22"/>
        </w:rPr>
        <w:t xml:space="preserve"> deverão ser considerados na motivação do relatório e da decisão. (</w:t>
      </w:r>
      <w:proofErr w:type="gramStart"/>
      <w:r>
        <w:rPr>
          <w:rFonts w:ascii="Courier New" w:hAnsi="Courier New" w:cs="Courier New"/>
          <w:sz w:val="22"/>
          <w:szCs w:val="22"/>
        </w:rPr>
        <w:t>grifei</w:t>
      </w:r>
      <w:proofErr w:type="gramEnd"/>
      <w:r>
        <w:rPr>
          <w:rFonts w:ascii="Courier New" w:hAnsi="Courier New" w:cs="Courier New"/>
          <w:sz w:val="22"/>
          <w:szCs w:val="22"/>
        </w:rPr>
        <w:t>)</w:t>
      </w:r>
    </w:p>
    <w:p w14:paraId="0DD5A861" w14:textId="77777777" w:rsidR="005242F9" w:rsidRDefault="005242F9" w:rsidP="005242F9">
      <w:pPr>
        <w:pStyle w:val="NormalWeb"/>
        <w:ind w:left="3402"/>
        <w:jc w:val="both"/>
        <w:rPr>
          <w:rFonts w:ascii="Courier New" w:hAnsi="Courier New" w:cs="Courier New"/>
          <w:sz w:val="22"/>
          <w:szCs w:val="22"/>
        </w:rPr>
      </w:pPr>
      <w:r>
        <w:rPr>
          <w:rFonts w:ascii="Courier New" w:hAnsi="Courier New" w:cs="Courier New"/>
          <w:sz w:val="22"/>
          <w:szCs w:val="22"/>
        </w:rPr>
        <w:t>§ 2</w:t>
      </w:r>
      <w:r>
        <w:rPr>
          <w:rFonts w:ascii="Courier New" w:hAnsi="Courier New" w:cs="Courier New"/>
          <w:sz w:val="22"/>
          <w:szCs w:val="22"/>
          <w:u w:val="single"/>
          <w:vertAlign w:val="superscript"/>
        </w:rPr>
        <w:t>o</w:t>
      </w:r>
      <w:r>
        <w:rPr>
          <w:rFonts w:ascii="Courier New" w:hAnsi="Courier New" w:cs="Courier New"/>
          <w:sz w:val="22"/>
          <w:szCs w:val="22"/>
        </w:rPr>
        <w:t xml:space="preserve"> </w:t>
      </w:r>
      <w:r>
        <w:rPr>
          <w:rFonts w:ascii="Courier New" w:hAnsi="Courier New" w:cs="Courier New"/>
          <w:b/>
          <w:bCs/>
          <w:sz w:val="22"/>
          <w:szCs w:val="22"/>
          <w:u w:val="single"/>
        </w:rPr>
        <w:t>Somente</w:t>
      </w:r>
      <w:r>
        <w:rPr>
          <w:rFonts w:ascii="Courier New" w:hAnsi="Courier New" w:cs="Courier New"/>
          <w:b/>
          <w:bCs/>
          <w:sz w:val="22"/>
          <w:szCs w:val="22"/>
        </w:rPr>
        <w:t xml:space="preserve"> poderão ser recusadas, </w:t>
      </w:r>
      <w:r>
        <w:rPr>
          <w:rFonts w:ascii="Courier New" w:hAnsi="Courier New" w:cs="Courier New"/>
          <w:sz w:val="22"/>
          <w:szCs w:val="22"/>
        </w:rPr>
        <w:t xml:space="preserve">mediante decisão fundamentada, </w:t>
      </w:r>
      <w:r>
        <w:rPr>
          <w:rFonts w:ascii="Courier New" w:hAnsi="Courier New" w:cs="Courier New"/>
          <w:b/>
          <w:bCs/>
          <w:sz w:val="22"/>
          <w:szCs w:val="22"/>
          <w:u w:val="single"/>
        </w:rPr>
        <w:t>as provas propostas pelos interessados quando sejam ilícitas</w:t>
      </w:r>
      <w:r>
        <w:rPr>
          <w:rFonts w:ascii="Courier New" w:hAnsi="Courier New" w:cs="Courier New"/>
          <w:sz w:val="22"/>
          <w:szCs w:val="22"/>
        </w:rPr>
        <w:t xml:space="preserve">, impertinentes, desnecessárias ou </w:t>
      </w:r>
      <w:proofErr w:type="gramStart"/>
      <w:r>
        <w:rPr>
          <w:rFonts w:ascii="Courier New" w:hAnsi="Courier New" w:cs="Courier New"/>
          <w:sz w:val="22"/>
          <w:szCs w:val="22"/>
        </w:rPr>
        <w:t>protelatórias.”</w:t>
      </w:r>
      <w:proofErr w:type="gramEnd"/>
      <w:r>
        <w:rPr>
          <w:rFonts w:ascii="Courier New" w:hAnsi="Courier New" w:cs="Courier New"/>
          <w:sz w:val="22"/>
          <w:szCs w:val="22"/>
        </w:rPr>
        <w:t xml:space="preserve"> (</w:t>
      </w:r>
      <w:proofErr w:type="gramStart"/>
      <w:r>
        <w:rPr>
          <w:rFonts w:ascii="Courier New" w:hAnsi="Courier New" w:cs="Courier New"/>
          <w:sz w:val="22"/>
          <w:szCs w:val="22"/>
        </w:rPr>
        <w:t>grifei</w:t>
      </w:r>
      <w:proofErr w:type="gramEnd"/>
      <w:r>
        <w:rPr>
          <w:rFonts w:ascii="Courier New" w:hAnsi="Courier New" w:cs="Courier New"/>
          <w:sz w:val="22"/>
          <w:szCs w:val="22"/>
        </w:rPr>
        <w:t>)</w:t>
      </w:r>
    </w:p>
    <w:p w14:paraId="58A93D38" w14:textId="77777777" w:rsidR="005242F9" w:rsidRDefault="005242F9" w:rsidP="005242F9">
      <w:pPr>
        <w:pStyle w:val="NormalWeb"/>
        <w:spacing w:line="360" w:lineRule="auto"/>
        <w:jc w:val="both"/>
        <w:rPr>
          <w:rFonts w:asciiTheme="minorHAnsi" w:hAnsiTheme="minorHAnsi" w:cstheme="minorHAnsi"/>
          <w:sz w:val="22"/>
          <w:szCs w:val="22"/>
        </w:rPr>
      </w:pPr>
      <w:r>
        <w:rPr>
          <w:rFonts w:asciiTheme="minorHAnsi" w:hAnsiTheme="minorHAnsi" w:cstheme="minorHAnsi"/>
          <w:sz w:val="22"/>
          <w:szCs w:val="22"/>
        </w:rPr>
        <w:tab/>
      </w:r>
    </w:p>
    <w:p w14:paraId="6F9E7F15" w14:textId="77777777" w:rsidR="005242F9" w:rsidRDefault="005242F9" w:rsidP="005242F9">
      <w:pPr>
        <w:pStyle w:val="NormalWeb"/>
        <w:spacing w:line="360" w:lineRule="auto"/>
        <w:ind w:firstLine="1418"/>
        <w:jc w:val="both"/>
        <w:rPr>
          <w:rFonts w:asciiTheme="minorHAnsi" w:hAnsiTheme="minorHAnsi" w:cstheme="minorHAnsi"/>
          <w:sz w:val="22"/>
          <w:szCs w:val="22"/>
        </w:rPr>
      </w:pPr>
      <w:r>
        <w:rPr>
          <w:rFonts w:asciiTheme="minorHAnsi" w:hAnsiTheme="minorHAnsi" w:cstheme="minorHAnsi"/>
          <w:sz w:val="22"/>
          <w:szCs w:val="22"/>
        </w:rPr>
        <w:t xml:space="preserve">Mediante os vastos dispositivos legais acima transcritos, torna-se indubitável concluir, que o direito à produção de provas se encontra vinculado ao direito à ampla defesa e contraditório, admitindo-se que a parte se utilize de </w:t>
      </w:r>
      <w:r>
        <w:rPr>
          <w:rFonts w:asciiTheme="minorHAnsi" w:hAnsiTheme="minorHAnsi" w:cstheme="minorHAnsi"/>
          <w:b/>
          <w:bCs/>
          <w:sz w:val="22"/>
          <w:szCs w:val="22"/>
        </w:rPr>
        <w:t>todos os meios legais para provar sua inocência, em qualquer das esferas do direito, inclusive o administrativo, sob pena de incorrer em cerceamento do direito de defesa</w:t>
      </w:r>
      <w:r>
        <w:rPr>
          <w:rFonts w:asciiTheme="minorHAnsi" w:hAnsiTheme="minorHAnsi" w:cstheme="minorHAnsi"/>
          <w:sz w:val="22"/>
          <w:szCs w:val="22"/>
        </w:rPr>
        <w:t xml:space="preserve">. </w:t>
      </w:r>
    </w:p>
    <w:p w14:paraId="2E7E3E7E" w14:textId="77777777" w:rsidR="005242F9" w:rsidRDefault="005242F9" w:rsidP="005242F9">
      <w:pPr>
        <w:pStyle w:val="NormalWeb"/>
        <w:spacing w:line="360" w:lineRule="auto"/>
        <w:ind w:firstLine="1418"/>
        <w:jc w:val="both"/>
        <w:rPr>
          <w:rFonts w:asciiTheme="minorHAnsi" w:hAnsiTheme="minorHAnsi" w:cstheme="minorHAnsi"/>
          <w:sz w:val="22"/>
          <w:szCs w:val="22"/>
        </w:rPr>
      </w:pPr>
      <w:r>
        <w:rPr>
          <w:rFonts w:asciiTheme="minorHAnsi" w:hAnsiTheme="minorHAnsi" w:cstheme="minorHAnsi"/>
          <w:sz w:val="22"/>
          <w:szCs w:val="22"/>
        </w:rPr>
        <w:t xml:space="preserve">Foi justamente nessa linha de raciocínio que o STF concedeu o Habeas Corpus (HC) nº 166694/2019, em que, ao votar pela concessão do pedido, o ministro Gilmar Mendes destacou que </w:t>
      </w:r>
      <w:r>
        <w:rPr>
          <w:rFonts w:asciiTheme="minorHAnsi" w:hAnsiTheme="minorHAnsi" w:cstheme="minorHAnsi"/>
          <w:b/>
          <w:bCs/>
          <w:sz w:val="22"/>
          <w:szCs w:val="22"/>
        </w:rPr>
        <w:t>o direito à prova é essencial</w:t>
      </w:r>
      <w:r>
        <w:rPr>
          <w:rFonts w:asciiTheme="minorHAnsi" w:hAnsiTheme="minorHAnsi" w:cstheme="minorHAnsi"/>
          <w:sz w:val="22"/>
          <w:szCs w:val="22"/>
        </w:rPr>
        <w:t xml:space="preserve"> ao devido processo penal e ao </w:t>
      </w:r>
      <w:r>
        <w:rPr>
          <w:rFonts w:asciiTheme="minorHAnsi" w:hAnsiTheme="minorHAnsi" w:cstheme="minorHAnsi"/>
          <w:b/>
          <w:bCs/>
          <w:sz w:val="22"/>
          <w:szCs w:val="22"/>
        </w:rPr>
        <w:t>direito à ampla defesa</w:t>
      </w:r>
      <w:r>
        <w:rPr>
          <w:rFonts w:asciiTheme="minorHAnsi" w:hAnsiTheme="minorHAnsi" w:cstheme="minorHAnsi"/>
          <w:sz w:val="22"/>
          <w:szCs w:val="22"/>
        </w:rPr>
        <w:t xml:space="preserve">. </w:t>
      </w:r>
      <w:r>
        <w:rPr>
          <w:rFonts w:asciiTheme="minorHAnsi" w:hAnsiTheme="minorHAnsi" w:cstheme="minorHAnsi"/>
          <w:sz w:val="22"/>
          <w:szCs w:val="22"/>
        </w:rPr>
        <w:lastRenderedPageBreak/>
        <w:t>Segundo o ministro, a paridade de armas precisa ser respeitada no ordenamento brasileiro, ainda que possa haver limitação na fase investigatória.</w:t>
      </w:r>
    </w:p>
    <w:p w14:paraId="3C3036F9" w14:textId="77777777" w:rsidR="005242F9" w:rsidRDefault="005242F9" w:rsidP="005242F9">
      <w:pPr>
        <w:pStyle w:val="NormalWeb"/>
        <w:spacing w:line="360" w:lineRule="auto"/>
        <w:ind w:firstLine="1418"/>
        <w:jc w:val="both"/>
        <w:rPr>
          <w:rFonts w:asciiTheme="minorHAnsi" w:hAnsiTheme="minorHAnsi" w:cstheme="minorHAnsi"/>
          <w:sz w:val="22"/>
          <w:szCs w:val="22"/>
        </w:rPr>
      </w:pPr>
      <w:r>
        <w:rPr>
          <w:rFonts w:asciiTheme="minorHAnsi" w:hAnsiTheme="minorHAnsi" w:cstheme="minorHAnsi"/>
          <w:sz w:val="22"/>
          <w:szCs w:val="22"/>
        </w:rPr>
        <w:t xml:space="preserve">O ministro afirmou, ainda, que a regra é que </w:t>
      </w:r>
      <w:r>
        <w:rPr>
          <w:rFonts w:asciiTheme="minorHAnsi" w:hAnsiTheme="minorHAnsi" w:cstheme="minorHAnsi"/>
          <w:b/>
          <w:bCs/>
          <w:sz w:val="22"/>
          <w:szCs w:val="22"/>
        </w:rPr>
        <w:t>os meios de prova requeridos pelas partes devem ser admitidos</w:t>
      </w:r>
      <w:r>
        <w:rPr>
          <w:rFonts w:asciiTheme="minorHAnsi" w:hAnsiTheme="minorHAnsi" w:cstheme="minorHAnsi"/>
          <w:sz w:val="22"/>
          <w:szCs w:val="22"/>
        </w:rPr>
        <w:t xml:space="preserve">, somente devendo haver a exclusão nos casos de </w:t>
      </w:r>
      <w:r>
        <w:rPr>
          <w:rFonts w:asciiTheme="minorHAnsi" w:hAnsiTheme="minorHAnsi" w:cstheme="minorHAnsi"/>
          <w:b/>
          <w:bCs/>
          <w:sz w:val="22"/>
          <w:szCs w:val="22"/>
        </w:rPr>
        <w:t>manifesta irrelevância, ou impertinência do meio probatório requerido pela parte</w:t>
      </w:r>
      <w:r>
        <w:rPr>
          <w:rFonts w:asciiTheme="minorHAnsi" w:hAnsiTheme="minorHAnsi" w:cstheme="minorHAnsi"/>
          <w:sz w:val="22"/>
          <w:szCs w:val="22"/>
        </w:rPr>
        <w:t xml:space="preserve">.  </w:t>
      </w:r>
    </w:p>
    <w:p w14:paraId="20B9C813" w14:textId="77777777" w:rsidR="005242F9" w:rsidRDefault="005242F9" w:rsidP="005242F9">
      <w:pPr>
        <w:pStyle w:val="NormalWeb"/>
        <w:spacing w:line="360" w:lineRule="auto"/>
        <w:ind w:firstLine="1418"/>
        <w:jc w:val="both"/>
        <w:rPr>
          <w:rFonts w:asciiTheme="minorHAnsi" w:hAnsiTheme="minorHAnsi" w:cstheme="minorHAnsi"/>
          <w:sz w:val="22"/>
          <w:szCs w:val="22"/>
        </w:rPr>
      </w:pPr>
      <w:r>
        <w:rPr>
          <w:rFonts w:asciiTheme="minorHAnsi" w:hAnsiTheme="minorHAnsi" w:cstheme="minorHAnsi"/>
          <w:sz w:val="22"/>
          <w:szCs w:val="22"/>
        </w:rPr>
        <w:t>É importante ainda ponderar, que se à administração pública assiste o direito de utilizar-se de imagens,</w:t>
      </w:r>
      <w:r>
        <w:rPr>
          <w:sz w:val="22"/>
          <w:szCs w:val="22"/>
        </w:rPr>
        <w:t xml:space="preserve"> </w:t>
      </w:r>
      <w:r>
        <w:rPr>
          <w:rFonts w:asciiTheme="minorHAnsi" w:hAnsiTheme="minorHAnsi" w:cstheme="minorHAnsi"/>
          <w:sz w:val="22"/>
          <w:szCs w:val="22"/>
        </w:rPr>
        <w:t xml:space="preserve">vídeo ou qualquer outro meio de prova em direito admitido para constatar infrações de trânsito, como exemplo, cito as resoluções 432/2013 e 909/2022, ambas do CONTRAN,  deve-se admitir que de igual modo utilize o administrado, que aliás, é a parte mais vulnerável da relação jurídica, sendo imperioso destacar, outrossim, que ainda que milite em favor da administração pública, a presunção de veracidade dos fatos, tidos como verdadeiros, isso não afasta o direito constitucional à ampla defesa, contraditório, e o direito à produção de provas, ao administrado. </w:t>
      </w:r>
    </w:p>
    <w:p w14:paraId="3FE9A912" w14:textId="77777777" w:rsidR="005242F9" w:rsidRDefault="005242F9" w:rsidP="005242F9">
      <w:pPr>
        <w:pStyle w:val="NormalWeb"/>
        <w:spacing w:line="360" w:lineRule="auto"/>
        <w:ind w:firstLine="1418"/>
        <w:jc w:val="both"/>
        <w:rPr>
          <w:rFonts w:asciiTheme="minorHAnsi" w:hAnsiTheme="minorHAnsi" w:cstheme="minorHAnsi"/>
          <w:sz w:val="22"/>
          <w:szCs w:val="22"/>
        </w:rPr>
      </w:pPr>
      <w:r>
        <w:rPr>
          <w:rFonts w:asciiTheme="minorHAnsi" w:hAnsiTheme="minorHAnsi" w:cstheme="minorHAnsi"/>
          <w:sz w:val="22"/>
          <w:szCs w:val="22"/>
        </w:rPr>
        <w:t xml:space="preserve">Aliás, a Lei 13.800/2001, em seu Art. 3º, inciso I, determina que:  </w:t>
      </w:r>
    </w:p>
    <w:p w14:paraId="0584AAC2" w14:textId="210481A5" w:rsidR="005242F9" w:rsidRDefault="005242F9" w:rsidP="00744F6A">
      <w:pPr>
        <w:pStyle w:val="NormalWeb"/>
        <w:spacing w:line="360" w:lineRule="auto"/>
        <w:ind w:left="3402"/>
        <w:jc w:val="both"/>
        <w:rPr>
          <w:rFonts w:ascii="Courier New" w:hAnsi="Courier New" w:cs="Courier New"/>
          <w:sz w:val="22"/>
          <w:szCs w:val="22"/>
        </w:rPr>
      </w:pPr>
      <w:r>
        <w:rPr>
          <w:rFonts w:asciiTheme="minorHAnsi" w:hAnsiTheme="minorHAnsi" w:cstheme="minorHAnsi"/>
          <w:sz w:val="22"/>
          <w:szCs w:val="22"/>
        </w:rPr>
        <w:t xml:space="preserve"> </w:t>
      </w:r>
      <w:r>
        <w:rPr>
          <w:rFonts w:ascii="Courier New" w:hAnsi="Courier New" w:cs="Courier New"/>
          <w:sz w:val="22"/>
          <w:szCs w:val="22"/>
        </w:rPr>
        <w:t xml:space="preserve">“Art. 3º - </w:t>
      </w:r>
      <w:r>
        <w:rPr>
          <w:rFonts w:ascii="Courier New" w:hAnsi="Courier New" w:cs="Courier New"/>
          <w:b/>
          <w:bCs/>
          <w:sz w:val="22"/>
          <w:szCs w:val="22"/>
        </w:rPr>
        <w:t>O administrado</w:t>
      </w:r>
      <w:r>
        <w:rPr>
          <w:rFonts w:ascii="Courier New" w:hAnsi="Courier New" w:cs="Courier New"/>
          <w:sz w:val="22"/>
          <w:szCs w:val="22"/>
        </w:rPr>
        <w:t xml:space="preserve"> tem os seguintes </w:t>
      </w:r>
      <w:r>
        <w:rPr>
          <w:rFonts w:ascii="Courier New" w:hAnsi="Courier New" w:cs="Courier New"/>
          <w:b/>
          <w:bCs/>
          <w:sz w:val="22"/>
          <w:szCs w:val="22"/>
        </w:rPr>
        <w:t>direitos perante a Administração</w:t>
      </w:r>
      <w:r>
        <w:rPr>
          <w:rFonts w:ascii="Courier New" w:hAnsi="Courier New" w:cs="Courier New"/>
          <w:sz w:val="22"/>
          <w:szCs w:val="22"/>
        </w:rPr>
        <w:t>, sem prejuízo de outros que lhe sejam assegurados:</w:t>
      </w:r>
    </w:p>
    <w:p w14:paraId="4D979571" w14:textId="77777777" w:rsidR="005242F9" w:rsidRDefault="005242F9" w:rsidP="005242F9">
      <w:pPr>
        <w:pStyle w:val="NormalWeb"/>
        <w:ind w:left="3402"/>
        <w:jc w:val="both"/>
        <w:rPr>
          <w:rFonts w:ascii="Courier New" w:hAnsi="Courier New" w:cs="Courier New"/>
          <w:sz w:val="22"/>
          <w:szCs w:val="22"/>
        </w:rPr>
      </w:pPr>
      <w:r>
        <w:rPr>
          <w:rFonts w:ascii="Courier New" w:hAnsi="Courier New" w:cs="Courier New"/>
          <w:sz w:val="22"/>
          <w:szCs w:val="22"/>
        </w:rPr>
        <w:t xml:space="preserve">I - ser tratado com respeito pelas autoridades e servidores, que deverão </w:t>
      </w:r>
      <w:r>
        <w:rPr>
          <w:rFonts w:ascii="Courier New" w:hAnsi="Courier New" w:cs="Courier New"/>
          <w:b/>
          <w:bCs/>
          <w:sz w:val="22"/>
          <w:szCs w:val="22"/>
        </w:rPr>
        <w:t>facilitar o exercício de seus direitos</w:t>
      </w:r>
      <w:r>
        <w:rPr>
          <w:rFonts w:ascii="Courier New" w:hAnsi="Courier New" w:cs="Courier New"/>
          <w:sz w:val="22"/>
          <w:szCs w:val="22"/>
        </w:rPr>
        <w:t xml:space="preserve"> e o cumprimento de suas </w:t>
      </w:r>
      <w:proofErr w:type="gramStart"/>
      <w:r>
        <w:rPr>
          <w:rFonts w:ascii="Courier New" w:hAnsi="Courier New" w:cs="Courier New"/>
          <w:sz w:val="22"/>
          <w:szCs w:val="22"/>
        </w:rPr>
        <w:t>obrigações;”</w:t>
      </w:r>
      <w:proofErr w:type="gramEnd"/>
      <w:r>
        <w:rPr>
          <w:rFonts w:ascii="Courier New" w:hAnsi="Courier New" w:cs="Courier New"/>
          <w:sz w:val="22"/>
          <w:szCs w:val="22"/>
        </w:rPr>
        <w:t xml:space="preserve"> (grifei)</w:t>
      </w:r>
    </w:p>
    <w:p w14:paraId="4B4CED07" w14:textId="77777777" w:rsidR="005242F9" w:rsidRDefault="005242F9" w:rsidP="005242F9">
      <w:pPr>
        <w:pStyle w:val="NormalWeb"/>
        <w:jc w:val="both"/>
        <w:rPr>
          <w:rFonts w:asciiTheme="minorHAnsi" w:hAnsiTheme="minorHAnsi" w:cstheme="minorHAnsi"/>
          <w:b/>
          <w:bCs/>
          <w:sz w:val="22"/>
          <w:szCs w:val="22"/>
        </w:rPr>
      </w:pPr>
    </w:p>
    <w:p w14:paraId="612E000E" w14:textId="77777777" w:rsidR="005242F9" w:rsidRDefault="005242F9" w:rsidP="005242F9">
      <w:pPr>
        <w:pStyle w:val="NormalWeb"/>
        <w:jc w:val="both"/>
        <w:rPr>
          <w:rFonts w:asciiTheme="minorHAnsi" w:hAnsiTheme="minorHAnsi" w:cstheme="minorHAnsi"/>
          <w:b/>
          <w:bCs/>
          <w:sz w:val="22"/>
          <w:szCs w:val="22"/>
        </w:rPr>
      </w:pPr>
      <w:r>
        <w:rPr>
          <w:rFonts w:asciiTheme="minorHAnsi" w:hAnsiTheme="minorHAnsi" w:cstheme="minorHAnsi"/>
          <w:b/>
          <w:bCs/>
          <w:sz w:val="22"/>
          <w:szCs w:val="22"/>
        </w:rPr>
        <w:t>CONCLUSÃO</w:t>
      </w:r>
    </w:p>
    <w:p w14:paraId="6D1523D5" w14:textId="77777777" w:rsidR="005242F9" w:rsidRDefault="005242F9" w:rsidP="005242F9">
      <w:pPr>
        <w:pStyle w:val="NormalWeb"/>
        <w:ind w:firstLine="1418"/>
        <w:jc w:val="both"/>
        <w:rPr>
          <w:rFonts w:asciiTheme="minorHAnsi" w:hAnsiTheme="minorHAnsi" w:cstheme="minorHAnsi"/>
          <w:sz w:val="22"/>
          <w:szCs w:val="22"/>
        </w:rPr>
      </w:pPr>
      <w:r>
        <w:rPr>
          <w:rFonts w:asciiTheme="minorHAnsi" w:hAnsiTheme="minorHAnsi" w:cstheme="minorHAnsi"/>
          <w:sz w:val="22"/>
          <w:szCs w:val="22"/>
        </w:rPr>
        <w:t>Diante do exposto,</w:t>
      </w:r>
    </w:p>
    <w:p w14:paraId="5F0C9A56" w14:textId="77777777" w:rsidR="005242F9" w:rsidRDefault="005242F9" w:rsidP="005242F9">
      <w:pPr>
        <w:pStyle w:val="NormalWeb"/>
        <w:spacing w:line="360" w:lineRule="auto"/>
        <w:jc w:val="both"/>
        <w:rPr>
          <w:rFonts w:asciiTheme="minorHAnsi" w:hAnsiTheme="minorHAnsi" w:cstheme="minorHAnsi"/>
          <w:sz w:val="22"/>
          <w:szCs w:val="22"/>
        </w:rPr>
      </w:pPr>
      <w:r>
        <w:rPr>
          <w:rFonts w:asciiTheme="minorHAnsi" w:hAnsiTheme="minorHAnsi" w:cstheme="minorHAnsi"/>
          <w:sz w:val="22"/>
          <w:szCs w:val="22"/>
        </w:rPr>
        <w:t>Considerando, que o direito à produção de provas, bem como, à ampla defesa e contraditório, são direitos protegido pela Constituição Federal, mais precisamente no capitulo</w:t>
      </w:r>
      <w:r>
        <w:rPr>
          <w:sz w:val="22"/>
          <w:szCs w:val="22"/>
        </w:rPr>
        <w:t xml:space="preserve"> “</w:t>
      </w:r>
      <w:r>
        <w:rPr>
          <w:rFonts w:asciiTheme="minorHAnsi" w:hAnsiTheme="minorHAnsi" w:cstheme="minorHAnsi"/>
          <w:sz w:val="22"/>
          <w:szCs w:val="22"/>
        </w:rPr>
        <w:t>Dos Direitos e Garantias Fundamentais”;</w:t>
      </w:r>
    </w:p>
    <w:p w14:paraId="0189CE1B" w14:textId="77777777" w:rsidR="005242F9" w:rsidRDefault="005242F9" w:rsidP="005242F9">
      <w:pPr>
        <w:pStyle w:val="NormalWeb"/>
        <w:spacing w:line="360" w:lineRule="auto"/>
        <w:jc w:val="both"/>
        <w:rPr>
          <w:rFonts w:asciiTheme="minorHAnsi" w:hAnsiTheme="minorHAnsi" w:cstheme="minorHAnsi"/>
          <w:sz w:val="22"/>
          <w:szCs w:val="22"/>
        </w:rPr>
      </w:pPr>
      <w:r>
        <w:rPr>
          <w:rFonts w:asciiTheme="minorHAnsi" w:hAnsiTheme="minorHAnsi" w:cstheme="minorHAnsi"/>
          <w:sz w:val="22"/>
          <w:szCs w:val="22"/>
        </w:rPr>
        <w:t>Considerando, que cabe à parte prejudicada demonstrar a existência de fato que impeça, modifique ou extingue o direito daquele que acusa, artigo 373 do CPC;</w:t>
      </w:r>
    </w:p>
    <w:p w14:paraId="1EB494C3" w14:textId="77777777" w:rsidR="005242F9" w:rsidRDefault="005242F9" w:rsidP="005242F9">
      <w:pPr>
        <w:pStyle w:val="NormalWeb"/>
        <w:spacing w:line="360" w:lineRule="auto"/>
        <w:jc w:val="both"/>
        <w:rPr>
          <w:rFonts w:asciiTheme="minorHAnsi" w:hAnsiTheme="minorHAnsi" w:cstheme="minorHAnsi"/>
          <w:sz w:val="22"/>
          <w:szCs w:val="22"/>
        </w:rPr>
      </w:pPr>
      <w:r>
        <w:rPr>
          <w:rFonts w:asciiTheme="minorHAnsi" w:hAnsiTheme="minorHAnsi" w:cstheme="minorHAnsi"/>
          <w:sz w:val="22"/>
          <w:szCs w:val="22"/>
        </w:rPr>
        <w:t>Considerando que a administração pública deve facilitar os meios de defesa do administrado;</w:t>
      </w:r>
    </w:p>
    <w:p w14:paraId="10BBC41A" w14:textId="77777777" w:rsidR="005242F9" w:rsidRDefault="005242F9" w:rsidP="005242F9">
      <w:pPr>
        <w:pStyle w:val="NormalWeb"/>
        <w:spacing w:line="360" w:lineRule="auto"/>
        <w:jc w:val="both"/>
        <w:rPr>
          <w:rFonts w:asciiTheme="minorHAnsi" w:hAnsiTheme="minorHAnsi" w:cstheme="minorHAnsi"/>
          <w:sz w:val="22"/>
          <w:szCs w:val="22"/>
        </w:rPr>
      </w:pPr>
      <w:r>
        <w:rPr>
          <w:rFonts w:asciiTheme="minorHAnsi" w:hAnsiTheme="minorHAnsi" w:cstheme="minorHAnsi"/>
          <w:sz w:val="22"/>
          <w:szCs w:val="22"/>
        </w:rPr>
        <w:t xml:space="preserve">Considerando que a administração pública já utiliza de imagens, vídeo, bem como </w:t>
      </w:r>
      <w:proofErr w:type="gramStart"/>
      <w:r>
        <w:rPr>
          <w:rFonts w:asciiTheme="minorHAnsi" w:hAnsiTheme="minorHAnsi" w:cstheme="minorHAnsi"/>
          <w:sz w:val="22"/>
          <w:szCs w:val="22"/>
        </w:rPr>
        <w:t>outros meio</w:t>
      </w:r>
      <w:proofErr w:type="gramEnd"/>
      <w:r>
        <w:rPr>
          <w:rFonts w:asciiTheme="minorHAnsi" w:hAnsiTheme="minorHAnsi" w:cstheme="minorHAnsi"/>
          <w:sz w:val="22"/>
          <w:szCs w:val="22"/>
        </w:rPr>
        <w:t xml:space="preserve"> de prova em direito admitido para constatar infrações de trânsito;</w:t>
      </w:r>
    </w:p>
    <w:p w14:paraId="0E5ECE76" w14:textId="77777777" w:rsidR="005242F9" w:rsidRDefault="005242F9" w:rsidP="005242F9">
      <w:pPr>
        <w:pStyle w:val="NormalWeb"/>
        <w:spacing w:line="360" w:lineRule="auto"/>
        <w:jc w:val="both"/>
        <w:rPr>
          <w:rFonts w:asciiTheme="minorHAnsi" w:hAnsiTheme="minorHAnsi" w:cstheme="minorHAnsi"/>
          <w:sz w:val="22"/>
          <w:szCs w:val="22"/>
        </w:rPr>
      </w:pPr>
      <w:r>
        <w:rPr>
          <w:rFonts w:asciiTheme="minorHAnsi" w:hAnsiTheme="minorHAnsi" w:cstheme="minorHAnsi"/>
          <w:sz w:val="22"/>
          <w:szCs w:val="22"/>
        </w:rPr>
        <w:t xml:space="preserve">Considerando que </w:t>
      </w:r>
      <w:proofErr w:type="gramStart"/>
      <w:r>
        <w:rPr>
          <w:rFonts w:asciiTheme="minorHAnsi" w:hAnsiTheme="minorHAnsi" w:cstheme="minorHAnsi"/>
          <w:sz w:val="22"/>
          <w:szCs w:val="22"/>
        </w:rPr>
        <w:t>inexiste(</w:t>
      </w:r>
      <w:proofErr w:type="gramEnd"/>
      <w:r>
        <w:rPr>
          <w:rFonts w:asciiTheme="minorHAnsi" w:hAnsiTheme="minorHAnsi" w:cstheme="minorHAnsi"/>
          <w:sz w:val="22"/>
          <w:szCs w:val="22"/>
        </w:rPr>
        <w:t>m), atualmente, qualquer legislação em vigor que venha a vedar ou estabelecer rol taxativo de provas admitidas; e,</w:t>
      </w:r>
    </w:p>
    <w:p w14:paraId="662338C1" w14:textId="77777777" w:rsidR="005242F9" w:rsidRDefault="005242F9" w:rsidP="005242F9">
      <w:pPr>
        <w:pStyle w:val="NormalWeb"/>
        <w:spacing w:line="360" w:lineRule="auto"/>
        <w:jc w:val="both"/>
        <w:rPr>
          <w:rFonts w:asciiTheme="minorHAnsi" w:hAnsiTheme="minorHAnsi" w:cstheme="minorHAnsi"/>
          <w:sz w:val="22"/>
          <w:szCs w:val="22"/>
        </w:rPr>
      </w:pPr>
      <w:r>
        <w:rPr>
          <w:rFonts w:asciiTheme="minorHAnsi" w:hAnsiTheme="minorHAnsi" w:cstheme="minorHAnsi"/>
          <w:sz w:val="22"/>
          <w:szCs w:val="22"/>
        </w:rPr>
        <w:t xml:space="preserve">Considerando toda a legislação aqui colecionada; </w:t>
      </w:r>
    </w:p>
    <w:p w14:paraId="704528ED" w14:textId="77777777" w:rsidR="005242F9" w:rsidRDefault="005242F9" w:rsidP="005242F9">
      <w:pPr>
        <w:pStyle w:val="NormalWeb"/>
        <w:spacing w:line="360" w:lineRule="auto"/>
        <w:jc w:val="both"/>
        <w:rPr>
          <w:rFonts w:asciiTheme="minorHAnsi" w:hAnsiTheme="minorHAnsi" w:cstheme="minorHAnsi"/>
          <w:sz w:val="22"/>
          <w:szCs w:val="22"/>
        </w:rPr>
      </w:pPr>
      <w:r>
        <w:rPr>
          <w:rFonts w:asciiTheme="minorHAnsi" w:hAnsiTheme="minorHAnsi" w:cstheme="minorHAnsi"/>
          <w:sz w:val="22"/>
          <w:szCs w:val="22"/>
        </w:rPr>
        <w:tab/>
        <w:t xml:space="preserve">Conclui-se, que: </w:t>
      </w:r>
    </w:p>
    <w:p w14:paraId="28400855" w14:textId="77777777" w:rsidR="005242F9" w:rsidRDefault="005242F9" w:rsidP="005242F9">
      <w:pPr>
        <w:pStyle w:val="NormalWeb"/>
        <w:spacing w:line="360" w:lineRule="auto"/>
        <w:jc w:val="both"/>
        <w:rPr>
          <w:rFonts w:asciiTheme="minorHAnsi" w:hAnsiTheme="minorHAnsi" w:cstheme="minorHAnsi"/>
          <w:sz w:val="22"/>
          <w:szCs w:val="22"/>
        </w:rPr>
      </w:pPr>
      <w:r>
        <w:rPr>
          <w:rFonts w:asciiTheme="minorHAnsi" w:hAnsiTheme="minorHAnsi" w:cstheme="minorHAnsi"/>
          <w:sz w:val="22"/>
          <w:szCs w:val="22"/>
        </w:rPr>
        <w:t>I - Se mostra desnecessária a criação de Lei para normatizar o uso de imagens como meio de prova, uma vez que a matéria já se encontra insculpida no artigo 5º da Constituição Federal, e legislações adjacentes, compondo os meios de provas em direito admitidos;</w:t>
      </w:r>
    </w:p>
    <w:p w14:paraId="3B8C5EA6" w14:textId="77777777" w:rsidR="005242F9" w:rsidRDefault="005242F9" w:rsidP="005242F9">
      <w:pPr>
        <w:pStyle w:val="NormalWeb"/>
        <w:spacing w:line="360" w:lineRule="auto"/>
        <w:jc w:val="both"/>
        <w:rPr>
          <w:rFonts w:asciiTheme="minorHAnsi" w:hAnsiTheme="minorHAnsi" w:cstheme="minorHAnsi"/>
          <w:sz w:val="22"/>
          <w:szCs w:val="22"/>
        </w:rPr>
      </w:pPr>
      <w:r>
        <w:rPr>
          <w:rFonts w:asciiTheme="minorHAnsi" w:hAnsiTheme="minorHAnsi" w:cstheme="minorHAnsi"/>
          <w:sz w:val="22"/>
          <w:szCs w:val="22"/>
        </w:rPr>
        <w:t>II -  De acordo com a legislação brasileira, imagens provenientes de câmaras de segurança, podem ser utilizadas para instruir defesas ou recursos em âmbito administrativo de trânsito, desde que se trate de provas lícitas (art. 5.º, LVI, da Constituição Federal), devendo-se, observar, em todo o caso, a Lei Geral de Proteção de Dados Pessoais (LGPD nº 13.709, de 14 de agosto de 2018), respeitando o direito à privacidade, à honra e à imagem, sem exclusão dos deveres do administrado,</w:t>
      </w:r>
      <w:r>
        <w:rPr>
          <w:sz w:val="22"/>
          <w:szCs w:val="22"/>
        </w:rPr>
        <w:t xml:space="preserve"> </w:t>
      </w:r>
      <w:r>
        <w:rPr>
          <w:rFonts w:asciiTheme="minorHAnsi" w:hAnsiTheme="minorHAnsi" w:cstheme="minorHAnsi"/>
          <w:sz w:val="22"/>
          <w:szCs w:val="22"/>
        </w:rPr>
        <w:t>insculpidos no Capítulo III, artigo 4º da Lei Estadual 13.800/2001.</w:t>
      </w:r>
    </w:p>
    <w:p w14:paraId="29687B17" w14:textId="77777777" w:rsidR="005242F9" w:rsidRDefault="005242F9" w:rsidP="005242F9">
      <w:pPr>
        <w:pStyle w:val="Standard"/>
        <w:spacing w:before="120" w:after="120" w:line="360" w:lineRule="auto"/>
        <w:jc w:val="center"/>
        <w:rPr>
          <w:rFonts w:asciiTheme="minorHAnsi" w:hAnsiTheme="minorHAnsi" w:cstheme="minorHAnsi"/>
          <w:b/>
          <w:bCs/>
          <w:sz w:val="22"/>
          <w:szCs w:val="22"/>
        </w:rPr>
      </w:pPr>
      <w:r>
        <w:rPr>
          <w:rFonts w:asciiTheme="minorHAnsi" w:hAnsiTheme="minorHAnsi" w:cstheme="minorHAnsi"/>
          <w:sz w:val="22"/>
          <w:szCs w:val="22"/>
        </w:rPr>
        <w:t>É o parecer.</w:t>
      </w:r>
    </w:p>
    <w:p w14:paraId="2846D967" w14:textId="77777777" w:rsidR="005242F9" w:rsidRDefault="005242F9" w:rsidP="005242F9">
      <w:pPr>
        <w:pStyle w:val="SemEspaamento"/>
        <w:spacing w:line="360" w:lineRule="auto"/>
        <w:jc w:val="center"/>
        <w:rPr>
          <w:rFonts w:cstheme="minorHAnsi"/>
          <w:b/>
          <w:bCs/>
        </w:rPr>
      </w:pPr>
    </w:p>
    <w:p w14:paraId="410F192A" w14:textId="77777777" w:rsidR="005242F9" w:rsidRPr="00744F6A" w:rsidRDefault="005242F9" w:rsidP="005242F9">
      <w:pPr>
        <w:spacing w:line="360" w:lineRule="auto"/>
        <w:jc w:val="center"/>
        <w:rPr>
          <w:rFonts w:asciiTheme="minorHAnsi" w:hAnsiTheme="minorHAnsi" w:cstheme="minorHAnsi"/>
          <w:bCs/>
          <w:sz w:val="22"/>
          <w:szCs w:val="22"/>
        </w:rPr>
      </w:pPr>
      <w:r w:rsidRPr="00744F6A">
        <w:rPr>
          <w:rFonts w:asciiTheme="minorHAnsi" w:hAnsiTheme="minorHAnsi" w:cstheme="minorHAnsi"/>
          <w:bCs/>
          <w:sz w:val="22"/>
          <w:szCs w:val="22"/>
        </w:rPr>
        <w:t>José Nicolau de Oliveira Neto</w:t>
      </w:r>
    </w:p>
    <w:p w14:paraId="7B452470" w14:textId="77777777" w:rsidR="005242F9" w:rsidRDefault="005242F9" w:rsidP="005242F9">
      <w:pPr>
        <w:spacing w:line="360" w:lineRule="auto"/>
        <w:jc w:val="center"/>
        <w:rPr>
          <w:rFonts w:asciiTheme="minorHAnsi" w:hAnsiTheme="minorHAnsi" w:cstheme="minorHAnsi"/>
          <w:b/>
          <w:bCs/>
          <w:sz w:val="22"/>
          <w:szCs w:val="22"/>
        </w:rPr>
      </w:pPr>
      <w:r>
        <w:rPr>
          <w:rFonts w:asciiTheme="minorHAnsi" w:hAnsiTheme="minorHAnsi" w:cstheme="minorHAnsi"/>
          <w:b/>
          <w:bCs/>
          <w:sz w:val="22"/>
          <w:szCs w:val="22"/>
        </w:rPr>
        <w:t>Presidente do CETRAN/GO</w:t>
      </w:r>
    </w:p>
    <w:p w14:paraId="62DF0498" w14:textId="77777777" w:rsidR="00744F6A" w:rsidRDefault="00744F6A" w:rsidP="00744F6A">
      <w:pPr>
        <w:pStyle w:val="SemEspaamento"/>
        <w:spacing w:line="360" w:lineRule="auto"/>
        <w:jc w:val="center"/>
        <w:rPr>
          <w:rFonts w:cstheme="minorHAnsi"/>
        </w:rPr>
      </w:pPr>
    </w:p>
    <w:p w14:paraId="3D8708BD" w14:textId="77777777" w:rsidR="00744F6A" w:rsidRDefault="00744F6A" w:rsidP="00744F6A">
      <w:pPr>
        <w:pStyle w:val="SemEspaamento"/>
        <w:spacing w:line="360" w:lineRule="auto"/>
        <w:jc w:val="center"/>
        <w:rPr>
          <w:rFonts w:cstheme="minorHAnsi"/>
        </w:rPr>
      </w:pPr>
      <w:r>
        <w:rPr>
          <w:rFonts w:cstheme="minorHAnsi"/>
        </w:rPr>
        <w:t>Claudio Pereira Teles</w:t>
      </w:r>
    </w:p>
    <w:p w14:paraId="26E4D0E0" w14:textId="183403D1" w:rsidR="00744F6A" w:rsidRDefault="00744F6A" w:rsidP="00744F6A">
      <w:pPr>
        <w:pStyle w:val="SemEspaamento"/>
        <w:spacing w:line="360" w:lineRule="auto"/>
        <w:jc w:val="center"/>
        <w:rPr>
          <w:rFonts w:cstheme="minorHAnsi"/>
        </w:rPr>
      </w:pPr>
      <w:r>
        <w:rPr>
          <w:rFonts w:cstheme="minorHAnsi"/>
          <w:b/>
          <w:bCs/>
        </w:rPr>
        <w:t>Conselheiros CETRAN/GO</w:t>
      </w:r>
    </w:p>
    <w:p w14:paraId="5B839F9A" w14:textId="1E8325FF" w:rsidR="00744F6A" w:rsidRDefault="00744F6A" w:rsidP="00744F6A">
      <w:pPr>
        <w:pStyle w:val="SemEspaamento"/>
        <w:spacing w:line="360" w:lineRule="auto"/>
        <w:jc w:val="center"/>
        <w:rPr>
          <w:rFonts w:cstheme="minorHAnsi"/>
        </w:rPr>
      </w:pPr>
      <w:r>
        <w:rPr>
          <w:rFonts w:cstheme="minorHAnsi"/>
        </w:rPr>
        <w:t>Cleber Dias Gonçalves</w:t>
      </w:r>
    </w:p>
    <w:p w14:paraId="332DDB25" w14:textId="28555C8A" w:rsidR="00744F6A" w:rsidRDefault="00744F6A" w:rsidP="00744F6A">
      <w:pPr>
        <w:pStyle w:val="SemEspaamento"/>
        <w:spacing w:line="360" w:lineRule="auto"/>
        <w:jc w:val="center"/>
        <w:rPr>
          <w:rFonts w:cstheme="minorHAnsi"/>
        </w:rPr>
      </w:pPr>
      <w:r>
        <w:rPr>
          <w:rFonts w:cstheme="minorHAnsi"/>
          <w:b/>
          <w:bCs/>
        </w:rPr>
        <w:t>Conselheiros CETRAN/GO</w:t>
      </w:r>
    </w:p>
    <w:p w14:paraId="013CF602" w14:textId="77777777" w:rsidR="00744F6A" w:rsidRDefault="00744F6A" w:rsidP="00744F6A">
      <w:pPr>
        <w:pStyle w:val="SemEspaamento"/>
        <w:tabs>
          <w:tab w:val="left" w:pos="4395"/>
          <w:tab w:val="left" w:pos="4678"/>
        </w:tabs>
        <w:spacing w:line="360" w:lineRule="auto"/>
        <w:jc w:val="center"/>
        <w:rPr>
          <w:rFonts w:cstheme="minorHAnsi"/>
        </w:rPr>
      </w:pPr>
      <w:r>
        <w:rPr>
          <w:rFonts w:cstheme="minorHAnsi"/>
        </w:rPr>
        <w:t>Éder Leandro Rocha</w:t>
      </w:r>
    </w:p>
    <w:p w14:paraId="33F71FA2" w14:textId="2A856172" w:rsidR="00744F6A" w:rsidRDefault="00744F6A" w:rsidP="00744F6A">
      <w:pPr>
        <w:pStyle w:val="SemEspaamento"/>
        <w:tabs>
          <w:tab w:val="left" w:pos="4395"/>
          <w:tab w:val="left" w:pos="4678"/>
        </w:tabs>
        <w:spacing w:line="360" w:lineRule="auto"/>
        <w:jc w:val="center"/>
        <w:rPr>
          <w:rFonts w:ascii="Liberation Serif" w:hAnsi="Liberation Serif" w:cs="Mangal"/>
          <w:kern w:val="2"/>
          <w:sz w:val="24"/>
          <w:szCs w:val="21"/>
          <w:lang w:bidi="hi-IN"/>
        </w:rPr>
      </w:pPr>
      <w:r>
        <w:rPr>
          <w:rFonts w:cstheme="minorHAnsi"/>
          <w:b/>
          <w:bCs/>
        </w:rPr>
        <w:t>Conselheiros CETRAN/GO</w:t>
      </w:r>
    </w:p>
    <w:p w14:paraId="59F812DA" w14:textId="6DCBD6BF" w:rsidR="00744F6A" w:rsidRDefault="00744F6A" w:rsidP="00744F6A">
      <w:pPr>
        <w:pStyle w:val="SemEspaamento"/>
        <w:tabs>
          <w:tab w:val="left" w:pos="4678"/>
        </w:tabs>
        <w:spacing w:line="360" w:lineRule="auto"/>
        <w:jc w:val="center"/>
        <w:rPr>
          <w:rFonts w:cstheme="minorHAnsi"/>
        </w:rPr>
      </w:pPr>
      <w:r>
        <w:rPr>
          <w:rFonts w:cstheme="minorHAnsi"/>
        </w:rPr>
        <w:t>Eliane Nogueira da Silva</w:t>
      </w:r>
    </w:p>
    <w:p w14:paraId="1AB65CDB" w14:textId="3FFA5B91" w:rsidR="00744F6A" w:rsidRDefault="00744F6A" w:rsidP="00744F6A">
      <w:pPr>
        <w:pStyle w:val="SemEspaamento"/>
        <w:tabs>
          <w:tab w:val="left" w:pos="4678"/>
        </w:tabs>
        <w:spacing w:line="360" w:lineRule="auto"/>
        <w:jc w:val="center"/>
        <w:rPr>
          <w:rFonts w:cstheme="minorHAnsi"/>
        </w:rPr>
      </w:pPr>
      <w:r>
        <w:rPr>
          <w:rFonts w:cstheme="minorHAnsi"/>
          <w:b/>
          <w:bCs/>
        </w:rPr>
        <w:t>Conselheiros CETRAN/GO</w:t>
      </w:r>
    </w:p>
    <w:p w14:paraId="611504E4" w14:textId="1E62EFC5" w:rsidR="00744F6A" w:rsidRDefault="00744F6A" w:rsidP="00744F6A">
      <w:pPr>
        <w:pStyle w:val="SemEspaamento"/>
        <w:spacing w:line="360" w:lineRule="auto"/>
        <w:jc w:val="center"/>
        <w:rPr>
          <w:rFonts w:cstheme="minorHAnsi"/>
        </w:rPr>
      </w:pPr>
      <w:r>
        <w:rPr>
          <w:rFonts w:cstheme="minorHAnsi"/>
        </w:rPr>
        <w:t>Gilda Mares dos Santos Diniz</w:t>
      </w:r>
    </w:p>
    <w:p w14:paraId="5495201F" w14:textId="77FE3101" w:rsidR="00744F6A" w:rsidRDefault="00744F6A" w:rsidP="00744F6A">
      <w:pPr>
        <w:pStyle w:val="SemEspaamento"/>
        <w:spacing w:line="360" w:lineRule="auto"/>
        <w:jc w:val="center"/>
        <w:rPr>
          <w:rFonts w:cstheme="minorHAnsi"/>
        </w:rPr>
      </w:pPr>
      <w:r>
        <w:rPr>
          <w:rFonts w:cstheme="minorHAnsi"/>
          <w:b/>
          <w:bCs/>
        </w:rPr>
        <w:t>Conselheiros CETRAN/GO</w:t>
      </w:r>
    </w:p>
    <w:p w14:paraId="6DAAFB35" w14:textId="02979F06" w:rsidR="00744F6A" w:rsidRDefault="00744F6A" w:rsidP="00744F6A">
      <w:pPr>
        <w:pStyle w:val="SemEspaamento"/>
        <w:tabs>
          <w:tab w:val="left" w:pos="4395"/>
          <w:tab w:val="left" w:pos="4678"/>
        </w:tabs>
        <w:spacing w:line="360" w:lineRule="auto"/>
        <w:jc w:val="center"/>
        <w:rPr>
          <w:rFonts w:cstheme="minorHAnsi"/>
        </w:rPr>
      </w:pPr>
      <w:r>
        <w:rPr>
          <w:rFonts w:cstheme="minorHAnsi"/>
        </w:rPr>
        <w:t xml:space="preserve">Ilton Belchior </w:t>
      </w:r>
      <w:proofErr w:type="spellStart"/>
      <w:r>
        <w:rPr>
          <w:rFonts w:cstheme="minorHAnsi"/>
        </w:rPr>
        <w:t>Cruvinel</w:t>
      </w:r>
      <w:proofErr w:type="spellEnd"/>
    </w:p>
    <w:p w14:paraId="7E69812B" w14:textId="0DBC5863" w:rsidR="00744F6A" w:rsidRDefault="00744F6A" w:rsidP="00744F6A">
      <w:pPr>
        <w:pStyle w:val="SemEspaamento"/>
        <w:tabs>
          <w:tab w:val="left" w:pos="4395"/>
          <w:tab w:val="left" w:pos="4678"/>
        </w:tabs>
        <w:spacing w:line="360" w:lineRule="auto"/>
        <w:jc w:val="center"/>
        <w:rPr>
          <w:rFonts w:cstheme="minorHAnsi"/>
        </w:rPr>
      </w:pPr>
      <w:r>
        <w:rPr>
          <w:rFonts w:cstheme="minorHAnsi"/>
          <w:b/>
          <w:bCs/>
        </w:rPr>
        <w:t>Conselheiros CETRAN/GO</w:t>
      </w:r>
    </w:p>
    <w:p w14:paraId="308D4B27" w14:textId="77777777" w:rsidR="00744F6A" w:rsidRDefault="00744F6A" w:rsidP="00744F6A">
      <w:pPr>
        <w:pStyle w:val="SemEspaamento"/>
        <w:spacing w:line="360" w:lineRule="auto"/>
        <w:jc w:val="center"/>
        <w:rPr>
          <w:rFonts w:cstheme="minorHAnsi"/>
        </w:rPr>
      </w:pPr>
      <w:proofErr w:type="spellStart"/>
      <w:r>
        <w:rPr>
          <w:rFonts w:cstheme="minorHAnsi"/>
        </w:rPr>
        <w:t>Jarleo</w:t>
      </w:r>
      <w:proofErr w:type="spellEnd"/>
      <w:r>
        <w:rPr>
          <w:rFonts w:cstheme="minorHAnsi"/>
        </w:rPr>
        <w:t xml:space="preserve"> Valverde de Oliveira</w:t>
      </w:r>
    </w:p>
    <w:p w14:paraId="540183E0" w14:textId="592D08CE" w:rsidR="00744F6A" w:rsidRPr="00744F6A" w:rsidRDefault="00744F6A" w:rsidP="00744F6A">
      <w:pPr>
        <w:pStyle w:val="SemEspaamento"/>
        <w:spacing w:line="360" w:lineRule="auto"/>
        <w:jc w:val="center"/>
        <w:rPr>
          <w:rFonts w:cstheme="minorHAnsi"/>
          <w:kern w:val="2"/>
          <w:lang w:bidi="hi-IN"/>
        </w:rPr>
      </w:pPr>
      <w:r>
        <w:rPr>
          <w:rFonts w:cstheme="minorHAnsi"/>
          <w:b/>
          <w:bCs/>
        </w:rPr>
        <w:t>Conselheiros CETRAN/GO</w:t>
      </w:r>
    </w:p>
    <w:p w14:paraId="3788ECD0" w14:textId="77777777" w:rsidR="00744F6A" w:rsidRDefault="00744F6A" w:rsidP="00744F6A">
      <w:pPr>
        <w:pStyle w:val="SemEspaamento"/>
        <w:tabs>
          <w:tab w:val="left" w:pos="4678"/>
        </w:tabs>
        <w:spacing w:line="360" w:lineRule="auto"/>
        <w:jc w:val="center"/>
        <w:rPr>
          <w:rFonts w:cstheme="minorHAnsi"/>
        </w:rPr>
      </w:pPr>
      <w:r>
        <w:rPr>
          <w:rFonts w:cstheme="minorHAnsi"/>
        </w:rPr>
        <w:t>João Bosco Almeida da Costa</w:t>
      </w:r>
    </w:p>
    <w:p w14:paraId="2FB7BE46" w14:textId="370B4B70" w:rsidR="00744F6A" w:rsidRDefault="00744F6A" w:rsidP="00744F6A">
      <w:pPr>
        <w:pStyle w:val="SemEspaamento"/>
        <w:tabs>
          <w:tab w:val="left" w:pos="4678"/>
        </w:tabs>
        <w:spacing w:line="360" w:lineRule="auto"/>
        <w:jc w:val="center"/>
        <w:rPr>
          <w:rFonts w:cstheme="minorHAnsi"/>
        </w:rPr>
      </w:pPr>
      <w:r>
        <w:rPr>
          <w:rFonts w:cstheme="minorHAnsi"/>
          <w:b/>
          <w:bCs/>
        </w:rPr>
        <w:t>Conselheiros CETRAN/GO</w:t>
      </w:r>
    </w:p>
    <w:p w14:paraId="1AF1B2A5" w14:textId="531DE92B" w:rsidR="00744F6A" w:rsidRDefault="00744F6A" w:rsidP="00744F6A">
      <w:pPr>
        <w:pStyle w:val="SemEspaamento"/>
        <w:tabs>
          <w:tab w:val="left" w:pos="4678"/>
        </w:tabs>
        <w:spacing w:line="360" w:lineRule="auto"/>
        <w:jc w:val="center"/>
        <w:rPr>
          <w:rFonts w:cstheme="minorHAnsi"/>
        </w:rPr>
      </w:pPr>
      <w:r>
        <w:rPr>
          <w:rFonts w:cstheme="minorHAnsi"/>
        </w:rPr>
        <w:t>Rogério Monteiro Gomes</w:t>
      </w:r>
    </w:p>
    <w:p w14:paraId="4759D085" w14:textId="5BA14712" w:rsidR="00744F6A" w:rsidRDefault="00744F6A" w:rsidP="00744F6A">
      <w:pPr>
        <w:pStyle w:val="SemEspaamento"/>
        <w:tabs>
          <w:tab w:val="left" w:pos="4678"/>
        </w:tabs>
        <w:spacing w:line="360" w:lineRule="auto"/>
        <w:jc w:val="center"/>
        <w:rPr>
          <w:rFonts w:cstheme="minorHAnsi"/>
        </w:rPr>
      </w:pPr>
      <w:r>
        <w:rPr>
          <w:rFonts w:cstheme="minorHAnsi"/>
          <w:b/>
          <w:bCs/>
        </w:rPr>
        <w:t>Conselheiros CETRAN/GO</w:t>
      </w:r>
    </w:p>
    <w:p w14:paraId="553065B0" w14:textId="0D979215" w:rsidR="00744F6A" w:rsidRDefault="00744F6A" w:rsidP="00744F6A">
      <w:pPr>
        <w:pStyle w:val="SemEspaamento"/>
        <w:spacing w:line="360" w:lineRule="auto"/>
        <w:jc w:val="center"/>
        <w:rPr>
          <w:rFonts w:cstheme="minorHAnsi"/>
        </w:rPr>
      </w:pPr>
      <w:r>
        <w:rPr>
          <w:rFonts w:cstheme="minorHAnsi"/>
        </w:rPr>
        <w:t>SDPM-GO José Octaviano de A. Filho</w:t>
      </w:r>
    </w:p>
    <w:p w14:paraId="455F1791" w14:textId="0ACBD805" w:rsidR="00744F6A" w:rsidRDefault="00744F6A" w:rsidP="00744F6A">
      <w:pPr>
        <w:pStyle w:val="SemEspaamento"/>
        <w:spacing w:line="360" w:lineRule="auto"/>
        <w:jc w:val="center"/>
        <w:rPr>
          <w:rFonts w:cstheme="minorHAnsi"/>
        </w:rPr>
      </w:pPr>
      <w:r>
        <w:rPr>
          <w:rFonts w:cstheme="minorHAnsi"/>
          <w:b/>
          <w:bCs/>
        </w:rPr>
        <w:t>Conselheiros CETRAN/GO</w:t>
      </w:r>
    </w:p>
    <w:p w14:paraId="4B458F39" w14:textId="492AE79F" w:rsidR="00744F6A" w:rsidRDefault="00744F6A" w:rsidP="00744F6A">
      <w:pPr>
        <w:pStyle w:val="SemEspaamento"/>
        <w:tabs>
          <w:tab w:val="left" w:pos="4678"/>
        </w:tabs>
        <w:spacing w:line="360" w:lineRule="auto"/>
        <w:jc w:val="center"/>
        <w:rPr>
          <w:rFonts w:cstheme="minorHAnsi"/>
        </w:rPr>
      </w:pPr>
      <w:r>
        <w:rPr>
          <w:rFonts w:cstheme="minorHAnsi"/>
        </w:rPr>
        <w:t>Severino José da Silva</w:t>
      </w:r>
    </w:p>
    <w:p w14:paraId="6C17F548" w14:textId="0E049442" w:rsidR="00744F6A" w:rsidRDefault="00744F6A" w:rsidP="00744F6A">
      <w:pPr>
        <w:pStyle w:val="SemEspaamento"/>
        <w:tabs>
          <w:tab w:val="left" w:pos="4678"/>
        </w:tabs>
        <w:spacing w:line="360" w:lineRule="auto"/>
        <w:jc w:val="center"/>
        <w:rPr>
          <w:rFonts w:cstheme="minorHAnsi"/>
        </w:rPr>
      </w:pPr>
      <w:r>
        <w:rPr>
          <w:rFonts w:cstheme="minorHAnsi"/>
          <w:b/>
          <w:bCs/>
        </w:rPr>
        <w:t>Conselheiros CETRAN/GO</w:t>
      </w:r>
    </w:p>
    <w:p w14:paraId="6E29C2AA" w14:textId="77777777" w:rsidR="00744F6A" w:rsidRDefault="00744F6A" w:rsidP="00744F6A">
      <w:pPr>
        <w:pStyle w:val="SemEspaamento"/>
        <w:spacing w:line="360" w:lineRule="auto"/>
        <w:jc w:val="center"/>
        <w:rPr>
          <w:rFonts w:cstheme="minorHAnsi"/>
        </w:rPr>
      </w:pPr>
      <w:r>
        <w:rPr>
          <w:rFonts w:cstheme="minorHAnsi"/>
        </w:rPr>
        <w:t>TCPM-GO Lucas Antônio de Morais Gomes</w:t>
      </w:r>
    </w:p>
    <w:p w14:paraId="4A6ABE38" w14:textId="7C104BAC" w:rsidR="00744F6A" w:rsidRDefault="00744F6A" w:rsidP="00744F6A">
      <w:pPr>
        <w:pStyle w:val="SemEspaamento"/>
        <w:spacing w:line="360" w:lineRule="auto"/>
        <w:jc w:val="center"/>
        <w:rPr>
          <w:rFonts w:cstheme="minorHAnsi"/>
          <w:lang w:bidi="hi-IN"/>
        </w:rPr>
      </w:pPr>
      <w:r>
        <w:rPr>
          <w:rFonts w:cstheme="minorHAnsi"/>
          <w:b/>
          <w:bCs/>
        </w:rPr>
        <w:t>Conselheiros CETRAN/GO</w:t>
      </w:r>
    </w:p>
    <w:p w14:paraId="15043E16" w14:textId="77777777" w:rsidR="005242F9" w:rsidRDefault="005242F9" w:rsidP="005242F9">
      <w:pPr>
        <w:jc w:val="both"/>
      </w:pPr>
    </w:p>
    <w:sectPr w:rsidR="005242F9" w:rsidSect="00355F9C">
      <w:pgSz w:w="11906" w:h="16838"/>
      <w:pgMar w:top="1417" w:right="1701" w:bottom="1135"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EE1171"/>
    <w:multiLevelType w:val="hybridMultilevel"/>
    <w:tmpl w:val="5260915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18F2"/>
    <w:rsid w:val="00185192"/>
    <w:rsid w:val="00215D73"/>
    <w:rsid w:val="00355F9C"/>
    <w:rsid w:val="003B0BB5"/>
    <w:rsid w:val="00427458"/>
    <w:rsid w:val="00484320"/>
    <w:rsid w:val="004F3D15"/>
    <w:rsid w:val="005242F9"/>
    <w:rsid w:val="005E7331"/>
    <w:rsid w:val="0060449E"/>
    <w:rsid w:val="006516F1"/>
    <w:rsid w:val="006848DC"/>
    <w:rsid w:val="00744F6A"/>
    <w:rsid w:val="0076284C"/>
    <w:rsid w:val="00C318F2"/>
    <w:rsid w:val="00C87E02"/>
    <w:rsid w:val="00D279B7"/>
    <w:rsid w:val="00DB4EEF"/>
    <w:rsid w:val="00E3613F"/>
    <w:rsid w:val="00EA65F5"/>
    <w:rsid w:val="00EE215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A26DC6"/>
  <w15:chartTrackingRefBased/>
  <w15:docId w15:val="{C748167D-C295-4D7B-923A-CCBF221B7A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5192"/>
    <w:pPr>
      <w:suppressAutoHyphens/>
      <w:spacing w:after="0" w:line="240" w:lineRule="auto"/>
    </w:pPr>
    <w:rPr>
      <w:rFonts w:ascii="Liberation Serif" w:eastAsia="SimSun" w:hAnsi="Liberation Serif" w:cs="Mangal"/>
      <w:kern w:val="2"/>
      <w:sz w:val="24"/>
      <w:szCs w:val="24"/>
      <w:lang w:eastAsia="zh-CN" w:bidi="hi-I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5E7331"/>
    <w:pPr>
      <w:autoSpaceDE w:val="0"/>
      <w:autoSpaceDN w:val="0"/>
      <w:adjustRightInd w:val="0"/>
      <w:spacing w:after="0" w:line="240" w:lineRule="auto"/>
    </w:pPr>
    <w:rPr>
      <w:rFonts w:ascii="Calibri" w:hAnsi="Calibri" w:cs="Calibri"/>
      <w:color w:val="000000"/>
      <w:sz w:val="24"/>
      <w:szCs w:val="24"/>
    </w:rPr>
  </w:style>
  <w:style w:type="paragraph" w:styleId="SemEspaamento">
    <w:name w:val="No Spacing"/>
    <w:uiPriority w:val="1"/>
    <w:qFormat/>
    <w:rsid w:val="005E7331"/>
    <w:pPr>
      <w:spacing w:after="0" w:line="240" w:lineRule="auto"/>
    </w:pPr>
  </w:style>
  <w:style w:type="paragraph" w:styleId="PargrafodaLista">
    <w:name w:val="List Paragraph"/>
    <w:basedOn w:val="Normal"/>
    <w:uiPriority w:val="34"/>
    <w:qFormat/>
    <w:rsid w:val="00DB4EEF"/>
    <w:pPr>
      <w:suppressAutoHyphens w:val="0"/>
      <w:spacing w:after="160" w:line="259" w:lineRule="auto"/>
      <w:ind w:left="720"/>
      <w:contextualSpacing/>
    </w:pPr>
    <w:rPr>
      <w:rFonts w:asciiTheme="minorHAnsi" w:eastAsiaTheme="minorHAnsi" w:hAnsiTheme="minorHAnsi" w:cstheme="minorBidi"/>
      <w:kern w:val="0"/>
      <w:sz w:val="22"/>
      <w:szCs w:val="22"/>
      <w:lang w:eastAsia="en-US" w:bidi="ar-SA"/>
    </w:rPr>
  </w:style>
  <w:style w:type="paragraph" w:customStyle="1" w:styleId="textojustificadorecuoprimeiralinha">
    <w:name w:val="texto_justificado_recuo_primeira_linha"/>
    <w:basedOn w:val="Normal"/>
    <w:rsid w:val="00215D73"/>
    <w:pPr>
      <w:suppressAutoHyphens w:val="0"/>
      <w:spacing w:before="100" w:beforeAutospacing="1" w:after="100" w:afterAutospacing="1"/>
    </w:pPr>
    <w:rPr>
      <w:rFonts w:ascii="Times New Roman" w:eastAsia="Times New Roman" w:hAnsi="Times New Roman" w:cs="Times New Roman"/>
      <w:kern w:val="0"/>
      <w:lang w:eastAsia="pt-BR" w:bidi="ar-SA"/>
    </w:rPr>
  </w:style>
  <w:style w:type="paragraph" w:customStyle="1" w:styleId="Standard">
    <w:name w:val="Standard"/>
    <w:qFormat/>
    <w:rsid w:val="00185192"/>
    <w:pPr>
      <w:suppressAutoHyphens/>
      <w:spacing w:after="0" w:line="240" w:lineRule="auto"/>
    </w:pPr>
    <w:rPr>
      <w:rFonts w:ascii="Times New Roman" w:eastAsia="Times New Roman" w:hAnsi="Times New Roman" w:cs="Times New Roman"/>
      <w:kern w:val="2"/>
      <w:sz w:val="24"/>
      <w:szCs w:val="24"/>
      <w:lang w:eastAsia="zh-CN"/>
    </w:rPr>
  </w:style>
  <w:style w:type="paragraph" w:styleId="NormalWeb">
    <w:name w:val="Normal (Web)"/>
    <w:basedOn w:val="Normal"/>
    <w:uiPriority w:val="99"/>
    <w:semiHidden/>
    <w:unhideWhenUsed/>
    <w:qFormat/>
    <w:rsid w:val="00185192"/>
    <w:pPr>
      <w:suppressAutoHyphens w:val="0"/>
      <w:spacing w:before="100" w:beforeAutospacing="1" w:after="100" w:afterAutospacing="1"/>
    </w:pPr>
    <w:rPr>
      <w:rFonts w:ascii="Times New Roman" w:eastAsia="Times New Roman" w:hAnsi="Times New Roman" w:cs="Times New Roman"/>
      <w:kern w:val="0"/>
      <w:lang w:eastAsia="pt-BR"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7705436">
      <w:bodyDiv w:val="1"/>
      <w:marLeft w:val="0"/>
      <w:marRight w:val="0"/>
      <w:marTop w:val="0"/>
      <w:marBottom w:val="0"/>
      <w:divBdr>
        <w:top w:val="none" w:sz="0" w:space="0" w:color="auto"/>
        <w:left w:val="none" w:sz="0" w:space="0" w:color="auto"/>
        <w:bottom w:val="none" w:sz="0" w:space="0" w:color="auto"/>
        <w:right w:val="none" w:sz="0" w:space="0" w:color="auto"/>
      </w:divBdr>
    </w:div>
    <w:div w:id="990401333">
      <w:bodyDiv w:val="1"/>
      <w:marLeft w:val="0"/>
      <w:marRight w:val="0"/>
      <w:marTop w:val="0"/>
      <w:marBottom w:val="0"/>
      <w:divBdr>
        <w:top w:val="none" w:sz="0" w:space="0" w:color="auto"/>
        <w:left w:val="none" w:sz="0" w:space="0" w:color="auto"/>
        <w:bottom w:val="none" w:sz="0" w:space="0" w:color="auto"/>
        <w:right w:val="none" w:sz="0" w:space="0" w:color="auto"/>
      </w:divBdr>
    </w:div>
    <w:div w:id="1018432999">
      <w:bodyDiv w:val="1"/>
      <w:marLeft w:val="0"/>
      <w:marRight w:val="0"/>
      <w:marTop w:val="0"/>
      <w:marBottom w:val="0"/>
      <w:divBdr>
        <w:top w:val="none" w:sz="0" w:space="0" w:color="auto"/>
        <w:left w:val="none" w:sz="0" w:space="0" w:color="auto"/>
        <w:bottom w:val="none" w:sz="0" w:space="0" w:color="auto"/>
        <w:right w:val="none" w:sz="0" w:space="0" w:color="auto"/>
      </w:divBdr>
    </w:div>
    <w:div w:id="1350259006">
      <w:bodyDiv w:val="1"/>
      <w:marLeft w:val="0"/>
      <w:marRight w:val="0"/>
      <w:marTop w:val="0"/>
      <w:marBottom w:val="0"/>
      <w:divBdr>
        <w:top w:val="none" w:sz="0" w:space="0" w:color="auto"/>
        <w:left w:val="none" w:sz="0" w:space="0" w:color="auto"/>
        <w:bottom w:val="none" w:sz="0" w:space="0" w:color="auto"/>
        <w:right w:val="none" w:sz="0" w:space="0" w:color="auto"/>
      </w:divBdr>
    </w:div>
    <w:div w:id="1402289192">
      <w:bodyDiv w:val="1"/>
      <w:marLeft w:val="0"/>
      <w:marRight w:val="0"/>
      <w:marTop w:val="0"/>
      <w:marBottom w:val="0"/>
      <w:divBdr>
        <w:top w:val="none" w:sz="0" w:space="0" w:color="auto"/>
        <w:left w:val="none" w:sz="0" w:space="0" w:color="auto"/>
        <w:bottom w:val="none" w:sz="0" w:space="0" w:color="auto"/>
        <w:right w:val="none" w:sz="0" w:space="0" w:color="auto"/>
      </w:divBdr>
    </w:div>
    <w:div w:id="1837724183">
      <w:bodyDiv w:val="1"/>
      <w:marLeft w:val="0"/>
      <w:marRight w:val="0"/>
      <w:marTop w:val="0"/>
      <w:marBottom w:val="0"/>
      <w:divBdr>
        <w:top w:val="none" w:sz="0" w:space="0" w:color="auto"/>
        <w:left w:val="none" w:sz="0" w:space="0" w:color="auto"/>
        <w:bottom w:val="none" w:sz="0" w:space="0" w:color="auto"/>
        <w:right w:val="none" w:sz="0" w:space="0" w:color="auto"/>
      </w:divBdr>
    </w:div>
    <w:div w:id="1971471994">
      <w:bodyDiv w:val="1"/>
      <w:marLeft w:val="0"/>
      <w:marRight w:val="0"/>
      <w:marTop w:val="0"/>
      <w:marBottom w:val="0"/>
      <w:divBdr>
        <w:top w:val="none" w:sz="0" w:space="0" w:color="auto"/>
        <w:left w:val="none" w:sz="0" w:space="0" w:color="auto"/>
        <w:bottom w:val="none" w:sz="0" w:space="0" w:color="auto"/>
        <w:right w:val="none" w:sz="0" w:space="0" w:color="auto"/>
      </w:divBdr>
    </w:div>
    <w:div w:id="2039698024">
      <w:bodyDiv w:val="1"/>
      <w:marLeft w:val="0"/>
      <w:marRight w:val="0"/>
      <w:marTop w:val="0"/>
      <w:marBottom w:val="0"/>
      <w:divBdr>
        <w:top w:val="none" w:sz="0" w:space="0" w:color="auto"/>
        <w:left w:val="none" w:sz="0" w:space="0" w:color="auto"/>
        <w:bottom w:val="none" w:sz="0" w:space="0" w:color="auto"/>
        <w:right w:val="none" w:sz="0" w:space="0" w:color="auto"/>
      </w:divBdr>
    </w:div>
    <w:div w:id="2096514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1629</Words>
  <Characters>8797</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10406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Nogueira Eliane</dc:creator>
  <cp:keywords/>
  <dc:description/>
  <cp:lastModifiedBy>Jeniffer Katherine Menezes Rios</cp:lastModifiedBy>
  <cp:revision>2</cp:revision>
  <dcterms:created xsi:type="dcterms:W3CDTF">2025-05-12T17:20:00Z</dcterms:created>
  <dcterms:modified xsi:type="dcterms:W3CDTF">2025-05-12T17:20:00Z</dcterms:modified>
</cp:coreProperties>
</file>