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sz w:val="32"/>
          <w:szCs w:val="32"/>
        </w:rPr>
      </w:pPr>
      <w:r>
        <w:rPr>
          <w:b/>
          <w:sz w:val="32"/>
          <w:szCs w:val="32"/>
        </w:rPr>
        <w:t>Consulta Pública</w:t>
      </w:r>
    </w:p>
    <w:p>
      <w:pPr>
        <w:pStyle w:val="Normal"/>
        <w:spacing w:lineRule="auto" w:line="240"/>
        <w:jc w:val="both"/>
        <w:rPr/>
      </w:pPr>
      <w:r>
        <w:rPr/>
        <w:t>Nome:</w:t>
      </w:r>
    </w:p>
    <w:p>
      <w:pPr>
        <w:pStyle w:val="Normal"/>
        <w:spacing w:lineRule="auto" w:line="240"/>
        <w:jc w:val="both"/>
        <w:rPr/>
      </w:pPr>
      <w:r>
        <w:rPr/>
        <w:t>CPF/CNPJ:</w:t>
      </w:r>
    </w:p>
    <w:p>
      <w:pPr>
        <w:pStyle w:val="Normal"/>
        <w:spacing w:lineRule="auto" w:line="240"/>
        <w:jc w:val="both"/>
        <w:rPr/>
      </w:pPr>
      <w:r>
        <w:rPr/>
        <w:t>Instituição:</w:t>
      </w:r>
    </w:p>
    <w:p>
      <w:pPr>
        <w:pStyle w:val="Normal"/>
        <w:spacing w:lineRule="auto" w:line="240"/>
        <w:jc w:val="both"/>
        <w:rPr/>
      </w:pPr>
      <w:r>
        <w:rPr/>
        <w:t>e-mail para retorno:</w:t>
      </w:r>
    </w:p>
    <w:p>
      <w:pPr>
        <w:pStyle w:val="Textbody"/>
        <w:spacing w:before="0" w:after="83"/>
        <w:ind w:left="3175"/>
        <w:jc w:val="both"/>
        <w:rPr>
          <w:rFonts w:ascii="Calibri" w:hAnsi="Calibri"/>
          <w:sz w:val="20"/>
          <w:szCs w:val="20"/>
        </w:rPr>
      </w:pPr>
      <w:r>
        <w:rPr>
          <w:rFonts w:ascii="Calibri" w:hAnsi="Calibri"/>
          <w:sz w:val="20"/>
          <w:szCs w:val="20"/>
        </w:rPr>
      </w:r>
    </w:p>
    <w:p>
      <w:pPr>
        <w:pStyle w:val="Textbody"/>
        <w:spacing w:before="0" w:after="83"/>
        <w:ind w:left="3175"/>
        <w:jc w:val="both"/>
        <w:rPr>
          <w:rFonts w:ascii="Calibri" w:hAnsi="Calibri"/>
          <w:sz w:val="20"/>
          <w:szCs w:val="20"/>
        </w:rPr>
      </w:pPr>
      <w:r>
        <w:rPr>
          <w:rFonts w:ascii="Calibri" w:hAnsi="Calibri"/>
          <w:sz w:val="20"/>
          <w:szCs w:val="20"/>
        </w:rPr>
        <w:t xml:space="preserve">Institui o Programa Estadual de Prevenção, Controle e Erradicação de </w:t>
      </w:r>
      <w:r>
        <w:rPr>
          <w:rStyle w:val="Emphasis"/>
          <w:rFonts w:ascii="Calibri" w:hAnsi="Calibri"/>
        </w:rPr>
        <w:t>Amaranthus palmeri</w:t>
      </w:r>
      <w:r>
        <w:rPr>
          <w:rFonts w:ascii="Calibri" w:hAnsi="Calibri"/>
          <w:sz w:val="20"/>
          <w:szCs w:val="20"/>
        </w:rPr>
        <w:t xml:space="preserve"> no Estado de Goiás </w:t>
      </w:r>
      <w:r>
        <w:rPr>
          <w:rFonts w:eastAsia="Calibri" w:cs="Calibri" w:ascii="Calibri" w:hAnsi="Calibri"/>
          <w:color w:val="000000"/>
          <w:spacing w:val="-2"/>
          <w:kern w:val="0"/>
          <w:sz w:val="20"/>
          <w:szCs w:val="20"/>
          <w:lang w:val="pt-PT" w:eastAsia="en-US" w:bidi="ar-SA"/>
        </w:rPr>
        <w:t xml:space="preserve">(PEAP) </w:t>
      </w:r>
      <w:r>
        <w:rPr>
          <w:rFonts w:ascii="Calibri" w:hAnsi="Calibri"/>
          <w:sz w:val="20"/>
          <w:szCs w:val="20"/>
        </w:rPr>
        <w:t>e estabelece medidas fitossanitárias para o trânsito de máquinas e implementos agrícolas.</w:t>
      </w:r>
    </w:p>
    <w:tbl>
      <w:tblPr>
        <w:tblStyle w:val="Tabelacomgrade"/>
        <w:tblW w:w="10200"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5100"/>
        <w:gridCol w:w="5100"/>
      </w:tblGrid>
      <w:tr>
        <w:trPr/>
        <w:tc>
          <w:tcPr>
            <w:tcW w:w="5100" w:type="dxa"/>
            <w:tcBorders/>
          </w:tcPr>
          <w:p>
            <w:pPr>
              <w:pStyle w:val="Normal"/>
              <w:widowControl/>
              <w:spacing w:lineRule="auto" w:line="240" w:before="240" w:after="0"/>
              <w:jc w:val="center"/>
              <w:rPr>
                <w:b/>
              </w:rPr>
            </w:pPr>
            <w:r>
              <w:rPr>
                <w:rFonts w:eastAsia="Calibri" w:cs=""/>
                <w:b/>
                <w:kern w:val="0"/>
                <w:sz w:val="22"/>
                <w:szCs w:val="22"/>
                <w:lang w:val="pt-BR" w:eastAsia="en-US" w:bidi="ar-SA"/>
              </w:rPr>
              <w:t>Texto original</w:t>
            </w:r>
          </w:p>
          <w:p>
            <w:pPr>
              <w:pStyle w:val="Normal"/>
              <w:widowControl/>
              <w:spacing w:lineRule="auto" w:line="240" w:before="240" w:after="0"/>
              <w:jc w:val="center"/>
              <w:rPr>
                <w:b/>
              </w:rPr>
            </w:pPr>
            <w:r>
              <w:rPr>
                <w:rFonts w:eastAsia="Calibri" w:cs=""/>
                <w:b/>
                <w:kern w:val="0"/>
                <w:sz w:val="22"/>
                <w:szCs w:val="22"/>
                <w:lang w:val="pt-BR" w:eastAsia="en-US" w:bidi="ar-SA"/>
              </w:rPr>
            </w:r>
          </w:p>
        </w:tc>
        <w:tc>
          <w:tcPr>
            <w:tcW w:w="5100" w:type="dxa"/>
            <w:tcBorders/>
          </w:tcPr>
          <w:p>
            <w:pPr>
              <w:pStyle w:val="Normal"/>
              <w:widowControl/>
              <w:spacing w:lineRule="auto" w:line="240" w:before="240" w:after="0"/>
              <w:jc w:val="center"/>
              <w:rPr>
                <w:b/>
              </w:rPr>
            </w:pPr>
            <w:r>
              <w:rPr>
                <w:rFonts w:eastAsia="Calibri" w:cs=""/>
                <w:b/>
                <w:kern w:val="0"/>
                <w:sz w:val="22"/>
                <w:szCs w:val="22"/>
                <w:lang w:val="pt-BR" w:eastAsia="en-US" w:bidi="ar-SA"/>
              </w:rPr>
              <w:t>Contribuições/sugestões para alteração</w:t>
            </w:r>
          </w:p>
        </w:tc>
      </w:tr>
      <w:tr>
        <w:trPr/>
        <w:tc>
          <w:tcPr>
            <w:tcW w:w="10200" w:type="dxa"/>
            <w:gridSpan w:val="2"/>
            <w:tcBorders/>
          </w:tcPr>
          <w:p>
            <w:pPr>
              <w:pStyle w:val="Textbody"/>
              <w:widowControl/>
              <w:spacing w:lineRule="auto" w:line="240" w:before="0" w:after="0"/>
              <w:ind w:firstLine="57" w:left="57" w:right="57"/>
              <w:jc w:val="center"/>
              <w:rPr>
                <w:rFonts w:ascii="Calibri" w:hAnsi="Calibri"/>
                <w:b/>
                <w:bCs/>
                <w:sz w:val="20"/>
                <w:szCs w:val="20"/>
              </w:rPr>
            </w:pPr>
            <w:r>
              <w:rPr>
                <w:rFonts w:ascii="Calibri" w:hAnsi="Calibri"/>
                <w:b/>
                <w:bCs/>
                <w:sz w:val="20"/>
                <w:szCs w:val="20"/>
                <w:lang w:val="pt-BR"/>
              </w:rPr>
              <w:t>CAPÍTULO I</w:t>
            </w:r>
          </w:p>
          <w:p>
            <w:pPr>
              <w:pStyle w:val="Textbody"/>
              <w:widowControl/>
              <w:spacing w:lineRule="auto" w:line="240" w:before="0" w:after="0"/>
              <w:ind w:firstLine="57" w:left="57" w:right="57"/>
              <w:jc w:val="center"/>
              <w:rPr>
                <w:sz w:val="20"/>
                <w:szCs w:val="20"/>
              </w:rPr>
            </w:pPr>
            <w:r>
              <w:rPr>
                <w:rFonts w:ascii="Calibri" w:hAnsi="Calibri"/>
                <w:b/>
                <w:bCs/>
                <w:color w:val="000000"/>
                <w:spacing w:val="-2"/>
                <w:sz w:val="20"/>
                <w:szCs w:val="20"/>
                <w:lang w:val="pt-BR"/>
              </w:rPr>
              <w:t>DISPOSIÇÕES GERAIS</w:t>
            </w:r>
          </w:p>
        </w:tc>
      </w:tr>
      <w:tr>
        <w:trPr/>
        <w:tc>
          <w:tcPr>
            <w:tcW w:w="5100" w:type="dxa"/>
            <w:tcBorders/>
          </w:tcPr>
          <w:p>
            <w:pPr>
              <w:pStyle w:val="Heading4"/>
              <w:widowControl/>
              <w:spacing w:before="0" w:after="0"/>
              <w:ind w:firstLine="57" w:left="57" w:right="57"/>
              <w:jc w:val="both"/>
              <w:rPr>
                <w:sz w:val="22"/>
                <w:szCs w:val="22"/>
              </w:rPr>
            </w:pPr>
            <w:r>
              <w:rPr>
                <w:rFonts w:ascii="Calibri" w:hAnsi="Calibri"/>
                <w:i w:val="false"/>
                <w:iCs w:val="false"/>
                <w:sz w:val="22"/>
                <w:szCs w:val="22"/>
                <w:lang w:val="pt-BR"/>
              </w:rPr>
              <w:t>Art. 1º</w:t>
            </w:r>
            <w:r>
              <w:rPr>
                <w:rFonts w:ascii="Calibri" w:hAnsi="Calibri"/>
                <w:b w:val="false"/>
                <w:bCs w:val="false"/>
                <w:i w:val="false"/>
                <w:iCs w:val="false"/>
                <w:sz w:val="22"/>
                <w:szCs w:val="22"/>
                <w:lang w:val="pt-BR"/>
              </w:rPr>
              <w:t xml:space="preserve"> Instituir o </w:t>
            </w:r>
            <w:r>
              <w:rPr>
                <w:rFonts w:eastAsia="Calibri" w:cs="Calibri" w:ascii="Calibri" w:hAnsi="Calibri"/>
                <w:b w:val="false"/>
                <w:bCs w:val="false"/>
                <w:i w:val="false"/>
                <w:iCs w:val="false"/>
                <w:spacing w:val="-2"/>
                <w:kern w:val="0"/>
                <w:sz w:val="22"/>
                <w:szCs w:val="22"/>
                <w:lang w:val="pt-PT" w:eastAsia="en-US" w:bidi="ar-SA"/>
              </w:rPr>
              <w:t xml:space="preserve">Programa Estadual de Prevenção, Controle e Erradicação de </w:t>
            </w:r>
            <w:r>
              <w:rPr>
                <w:rFonts w:eastAsia="Calibri" w:cs="Calibri" w:ascii="Calibri" w:hAnsi="Calibri"/>
                <w:b w:val="false"/>
                <w:bCs w:val="false"/>
                <w:spacing w:val="-2"/>
                <w:kern w:val="0"/>
                <w:sz w:val="22"/>
                <w:szCs w:val="22"/>
                <w:lang w:val="pt-PT" w:eastAsia="en-US" w:bidi="ar-SA"/>
              </w:rPr>
              <w:t>Amaranthus palmeri</w:t>
            </w:r>
            <w:r>
              <w:rPr>
                <w:rFonts w:eastAsia="Calibri" w:cs="Calibri" w:ascii="Calibri" w:hAnsi="Calibri"/>
                <w:b w:val="false"/>
                <w:bCs w:val="false"/>
                <w:i w:val="false"/>
                <w:iCs w:val="false"/>
                <w:spacing w:val="-2"/>
                <w:kern w:val="0"/>
                <w:sz w:val="22"/>
                <w:szCs w:val="22"/>
                <w:lang w:val="pt-PT" w:eastAsia="en-US" w:bidi="ar-SA"/>
              </w:rPr>
              <w:t xml:space="preserve"> </w:t>
            </w:r>
            <w:r>
              <w:rPr>
                <w:rFonts w:eastAsia="Calibri" w:cs="Calibri" w:ascii="Calibri" w:hAnsi="Calibri"/>
                <w:b w:val="false"/>
                <w:bCs w:val="false"/>
                <w:i w:val="false"/>
                <w:iCs w:val="false"/>
                <w:color w:val="000000"/>
                <w:spacing w:val="-2"/>
                <w:kern w:val="0"/>
                <w:sz w:val="22"/>
                <w:szCs w:val="22"/>
                <w:lang w:val="pt-PT" w:eastAsia="en-US" w:bidi="ar-SA"/>
              </w:rPr>
              <w:t>(PEAP),</w:t>
            </w:r>
            <w:r>
              <w:rPr>
                <w:rFonts w:eastAsia="Calibri" w:cs="Calibri" w:ascii="Calibri" w:hAnsi="Calibri"/>
                <w:i w:val="false"/>
                <w:iCs w:val="false"/>
                <w:color w:val="000000"/>
                <w:spacing w:val="-2"/>
                <w:kern w:val="0"/>
                <w:sz w:val="22"/>
                <w:szCs w:val="22"/>
                <w:lang w:val="pt-PT" w:eastAsia="en-US" w:bidi="ar-SA"/>
              </w:rPr>
              <w:t xml:space="preserve"> </w:t>
            </w:r>
            <w:r>
              <w:rPr>
                <w:rFonts w:eastAsia="Calibri" w:cs="Calibri" w:ascii="Calibri" w:hAnsi="Calibri"/>
                <w:b w:val="false"/>
                <w:bCs w:val="false"/>
                <w:i w:val="false"/>
                <w:iCs w:val="false"/>
                <w:spacing w:val="-2"/>
                <w:kern w:val="0"/>
                <w:sz w:val="22"/>
                <w:szCs w:val="22"/>
                <w:lang w:val="pt-PT" w:eastAsia="en-US" w:bidi="ar-SA"/>
              </w:rPr>
              <w:t>com o objetivo de estabelecer diretrizes, critérios técnicos e administrativos e medidas fitossanitárias obrigatórias de prevenção, controle e erradicação, em consonância com a Portaria SDA/MAPA nº 1.119/2024 e estabelecer as medidas fitossanitárias aplicáveis ao trânsito de máquinas e implementos agrícolas.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bookmarkStart w:id="0" w:name="_GoBack"/>
            <w:bookmarkStart w:id="1" w:name="_GoBack"/>
            <w:bookmarkEnd w:id="1"/>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Calibri"/>
                <w:b/>
                <w:bCs/>
                <w:spacing w:val="-2"/>
                <w:kern w:val="0"/>
                <w:sz w:val="22"/>
                <w:szCs w:val="22"/>
                <w:lang w:val="pt-PT" w:eastAsia="en-US" w:bidi="ar-SA"/>
              </w:rPr>
              <w:t>Parágrafo único.</w:t>
            </w:r>
            <w:r>
              <w:rPr>
                <w:rFonts w:eastAsia="Calibri" w:cs="Calibri"/>
                <w:spacing w:val="-2"/>
                <w:kern w:val="0"/>
                <w:sz w:val="22"/>
                <w:szCs w:val="22"/>
                <w:lang w:val="pt-PT" w:eastAsia="en-US" w:bidi="ar-SA"/>
              </w:rPr>
              <w:t xml:space="preserve"> A execução do </w:t>
            </w:r>
            <w:r>
              <w:rPr>
                <w:rFonts w:eastAsia="Calibri" w:cs="Calibri"/>
                <w:color w:val="000000"/>
                <w:spacing w:val="-2"/>
                <w:kern w:val="0"/>
                <w:sz w:val="22"/>
                <w:szCs w:val="22"/>
                <w:lang w:val="pt-PT" w:eastAsia="en-US" w:bidi="ar-SA"/>
              </w:rPr>
              <w:t>PEAP</w:t>
            </w:r>
            <w:r>
              <w:rPr>
                <w:rFonts w:eastAsia="Calibri" w:cs="Calibri"/>
                <w:spacing w:val="-2"/>
                <w:kern w:val="0"/>
                <w:sz w:val="22"/>
                <w:szCs w:val="22"/>
                <w:lang w:val="pt-PT" w:eastAsia="en-US" w:bidi="ar-SA"/>
              </w:rPr>
              <w:t xml:space="preserve"> caberá à Agência Goiana de Defesa Agropecuária (Agrodefesa), por meio da Gerência de Sanidade Vegetal (GESAV), Gerência de Fiscalização Agropecuária (GEFISA), suas Coordenações, Coordenações Regionais e Unidades Operacionais Locais (UOLs).</w:t>
            </w:r>
            <w:r>
              <w:rPr>
                <w:rFonts w:eastAsia="Calibri" w:cs="Calibri"/>
                <w:b/>
                <w:bCs/>
                <w:spacing w:val="-2"/>
                <w:kern w:val="0"/>
                <w:sz w:val="22"/>
                <w:szCs w:val="22"/>
                <w:lang w:val="pt-PT" w:eastAsia="en-US" w:bidi="ar-SA"/>
              </w:rPr>
              <w:tab/>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Standard"/>
              <w:widowControl w:val="false"/>
              <w:spacing w:before="0" w:after="0"/>
              <w:ind w:firstLine="57" w:left="57" w:right="57"/>
              <w:jc w:val="both"/>
              <w:rPr>
                <w:sz w:val="22"/>
                <w:szCs w:val="22"/>
              </w:rPr>
            </w:pPr>
            <w:r>
              <w:rPr>
                <w:rStyle w:val="StrongEmphasis"/>
                <w:rFonts w:eastAsia="Calibri" w:cs="Calibri" w:ascii="Calibri" w:hAnsi="Calibri"/>
                <w:spacing w:val="-2"/>
                <w:kern w:val="0"/>
                <w:sz w:val="22"/>
                <w:szCs w:val="22"/>
                <w:lang w:val="pt-PT" w:eastAsia="en-US" w:bidi="ar-SA"/>
              </w:rPr>
              <w:t>Art. 2º</w:t>
            </w:r>
            <w:r>
              <w:rPr>
                <w:rFonts w:eastAsia="Calibri" w:cs="Calibri" w:ascii="Calibri" w:hAnsi="Calibri"/>
                <w:spacing w:val="-2"/>
                <w:kern w:val="0"/>
                <w:sz w:val="22"/>
                <w:szCs w:val="22"/>
                <w:lang w:val="pt-PT" w:eastAsia="en-US" w:bidi="ar-SA"/>
              </w:rPr>
              <w:t xml:space="preserve"> O Programa Estadual de Prevenção, Controle e Erradicação de </w:t>
            </w:r>
            <w:r>
              <w:rPr>
                <w:rFonts w:eastAsia="Calibri" w:cs="Calibri" w:ascii="Calibri" w:hAnsi="Calibri"/>
                <w:i/>
                <w:iCs/>
                <w:spacing w:val="-2"/>
                <w:kern w:val="0"/>
                <w:sz w:val="22"/>
                <w:szCs w:val="22"/>
                <w:lang w:val="pt-PT" w:eastAsia="en-US" w:bidi="ar-SA"/>
              </w:rPr>
              <w:t>Amaranthus palmeri</w:t>
            </w:r>
            <w:r>
              <w:rPr>
                <w:rFonts w:eastAsia="Calibri" w:cs="Calibri" w:ascii="Calibri" w:hAnsi="Calibri"/>
                <w:spacing w:val="-2"/>
                <w:kern w:val="0"/>
                <w:sz w:val="22"/>
                <w:szCs w:val="22"/>
                <w:lang w:val="pt-PT" w:eastAsia="en-US" w:bidi="ar-SA"/>
              </w:rPr>
              <w:t xml:space="preserve"> </w:t>
            </w:r>
            <w:r>
              <w:rPr>
                <w:rFonts w:eastAsia="Calibri" w:cs="Calibri" w:ascii="Calibri" w:hAnsi="Calibri"/>
                <w:color w:val="000000"/>
                <w:spacing w:val="-2"/>
                <w:kern w:val="0"/>
                <w:sz w:val="22"/>
                <w:szCs w:val="22"/>
                <w:lang w:val="pt-PT" w:eastAsia="en-US" w:bidi="ar-SA"/>
              </w:rPr>
              <w:t>(PEAP) consiste em:</w:t>
            </w:r>
          </w:p>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kern w:val="0"/>
                <w:sz w:val="22"/>
                <w:szCs w:val="22"/>
                <w:lang w:val="pt-BR" w:eastAsia="en-US" w:bidi="ar-SA"/>
              </w:rPr>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 -</w:t>
            </w:r>
            <w:r>
              <w:rPr>
                <w:rFonts w:eastAsia="Calibri" w:cs=""/>
                <w:kern w:val="0"/>
                <w:sz w:val="22"/>
                <w:szCs w:val="22"/>
                <w:lang w:val="pt-BR" w:eastAsia="en-US" w:bidi="ar-SA"/>
              </w:rPr>
              <w:t xml:space="preserve"> prevenir a introdução e a disseminação da praga no território goiano;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II -</w:t>
            </w:r>
            <w:r>
              <w:rPr>
                <w:rFonts w:eastAsia="Calibri" w:cs=""/>
                <w:kern w:val="0"/>
                <w:sz w:val="22"/>
                <w:szCs w:val="22"/>
                <w:lang w:val="pt-BR" w:eastAsia="en-US" w:bidi="ar-SA"/>
              </w:rPr>
              <w:t xml:space="preserve"> realizar ações de vigilância fitossanitária ativa e passiva;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Textbody"/>
              <w:widowControl w:val="false"/>
              <w:spacing w:lineRule="auto" w:line="240" w:before="0" w:after="0"/>
              <w:ind w:right="57"/>
              <w:jc w:val="left"/>
              <w:rPr>
                <w:sz w:val="22"/>
                <w:szCs w:val="22"/>
              </w:rPr>
            </w:pPr>
            <w:r>
              <w:rPr>
                <w:rFonts w:ascii="Calibri" w:hAnsi="Calibri"/>
                <w:b/>
                <w:bCs/>
                <w:sz w:val="22"/>
                <w:szCs w:val="22"/>
                <w:lang w:val="pt-BR"/>
              </w:rPr>
              <w:t xml:space="preserve">III - </w:t>
            </w:r>
            <w:r>
              <w:rPr>
                <w:rFonts w:ascii="Calibri" w:hAnsi="Calibri"/>
                <w:sz w:val="22"/>
                <w:szCs w:val="22"/>
                <w:lang w:val="pt-BR"/>
              </w:rPr>
              <w:t xml:space="preserve">estabelecer medidas de </w:t>
            </w:r>
            <w:r>
              <w:rPr>
                <w:rFonts w:eastAsia="Calibri" w:cs="Calibri" w:ascii="Calibri" w:hAnsi="Calibri"/>
                <w:spacing w:val="-2"/>
                <w:kern w:val="0"/>
                <w:sz w:val="22"/>
                <w:szCs w:val="22"/>
                <w:lang w:val="pt-PT" w:eastAsia="en-US" w:bidi="ar-SA"/>
              </w:rPr>
              <w:t>controle, supressão e erradicação</w:t>
            </w:r>
            <w:r>
              <w:rPr>
                <w:rFonts w:ascii="Calibri" w:hAnsi="Calibri"/>
                <w:sz w:val="22"/>
                <w:szCs w:val="22"/>
                <w:lang w:val="pt-BR"/>
              </w:rPr>
              <w:t>, quando houver detecção da praga;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IV -</w:t>
            </w:r>
            <w:r>
              <w:rPr>
                <w:rFonts w:eastAsia="Calibri" w:cs=""/>
                <w:kern w:val="0"/>
                <w:sz w:val="22"/>
                <w:szCs w:val="22"/>
                <w:lang w:val="pt-BR" w:eastAsia="en-US" w:bidi="ar-SA"/>
              </w:rPr>
              <w:t xml:space="preserve"> promover a integração das ações estaduais com o Programa Nacional;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Textbody"/>
              <w:widowControl w:val="false"/>
              <w:spacing w:lineRule="auto" w:line="240" w:before="0" w:after="0"/>
              <w:ind w:right="57"/>
              <w:jc w:val="left"/>
              <w:rPr>
                <w:sz w:val="22"/>
                <w:szCs w:val="22"/>
              </w:rPr>
            </w:pPr>
            <w:r>
              <w:rPr>
                <w:rFonts w:ascii="Calibri" w:hAnsi="Calibri"/>
                <w:b/>
                <w:bCs/>
                <w:sz w:val="22"/>
                <w:szCs w:val="22"/>
                <w:lang w:val="pt-BR"/>
              </w:rPr>
              <w:t>V -</w:t>
            </w:r>
            <w:r>
              <w:rPr>
                <w:rFonts w:ascii="Calibri" w:hAnsi="Calibri"/>
                <w:sz w:val="22"/>
                <w:szCs w:val="22"/>
                <w:lang w:val="pt-BR"/>
              </w:rPr>
              <w:t xml:space="preserve"> mitigar impactos econômicos à agricultura goiana.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tabs>
                <w:tab w:val="clear" w:pos="708"/>
                <w:tab w:val="left" w:pos="1470" w:leader="none"/>
              </w:tabs>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Art. 3º</w:t>
            </w:r>
            <w:r>
              <w:rPr>
                <w:rStyle w:val="Fontepargpadro1"/>
                <w:rFonts w:eastAsia="Calibri" w:cs="Calibri"/>
                <w:kern w:val="0"/>
                <w:sz w:val="22"/>
                <w:szCs w:val="22"/>
                <w:lang w:val="pt-BR" w:eastAsia="en-US" w:bidi="ar-SA"/>
              </w:rPr>
              <w:t xml:space="preserve"> Caberá à Agência Goiana de Defesa Agropecuária (Agrodefesa):</w:t>
            </w:r>
            <w:r>
              <w:rPr>
                <w:rFonts w:eastAsia="Calibri" w:cs=""/>
                <w:kern w:val="0"/>
                <w:sz w:val="22"/>
                <w:szCs w:val="22"/>
                <w:lang w:val="pt-BR" w:eastAsia="en-US" w:bidi="ar-SA"/>
              </w:rPr>
              <w:tab/>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 -</w:t>
            </w:r>
            <w:r>
              <w:rPr>
                <w:rStyle w:val="Fontepargpadro1"/>
                <w:rFonts w:eastAsia="Calibri" w:cs="Calibri"/>
                <w:kern w:val="0"/>
                <w:sz w:val="22"/>
                <w:szCs w:val="22"/>
                <w:lang w:val="pt-BR" w:eastAsia="en-US" w:bidi="ar-SA"/>
              </w:rPr>
              <w:t xml:space="preserve"> coordenar tecnicamente as ações em âmbito estadual do </w:t>
            </w:r>
            <w:r>
              <w:rPr>
                <w:rStyle w:val="Fontepargpadro1"/>
                <w:rFonts w:eastAsia="Calibri" w:cs="Calibri"/>
                <w:spacing w:val="-2"/>
                <w:kern w:val="0"/>
                <w:sz w:val="22"/>
                <w:szCs w:val="22"/>
                <w:lang w:val="pt-PT" w:eastAsia="en-US" w:bidi="ar-SA"/>
              </w:rPr>
              <w:t xml:space="preserve">Programa Estadual de Prevenção, Controle e Erradicação de </w:t>
            </w:r>
            <w:r>
              <w:rPr>
                <w:rStyle w:val="Fontepargpadro1"/>
                <w:rFonts w:eastAsia="Calibri" w:cs="Calibri"/>
                <w:i/>
                <w:iCs/>
                <w:spacing w:val="-2"/>
                <w:kern w:val="0"/>
                <w:sz w:val="22"/>
                <w:szCs w:val="22"/>
                <w:lang w:val="pt-PT" w:eastAsia="en-US" w:bidi="ar-SA"/>
              </w:rPr>
              <w:t>Amaranthus palmeri</w:t>
            </w:r>
            <w:r>
              <w:rPr>
                <w:rStyle w:val="Fontepargpadro1"/>
                <w:rFonts w:eastAsia="Calibri" w:cs="Calibri"/>
                <w:spacing w:val="-2"/>
                <w:kern w:val="0"/>
                <w:sz w:val="22"/>
                <w:szCs w:val="22"/>
                <w:lang w:val="pt-PT" w:eastAsia="en-US" w:bidi="ar-SA"/>
              </w:rPr>
              <w:t xml:space="preserve"> </w:t>
            </w:r>
            <w:r>
              <w:rPr>
                <w:rStyle w:val="Fontepargpadro1"/>
                <w:rFonts w:eastAsia="Calibri" w:cs="Calibri"/>
                <w:color w:val="000000"/>
                <w:spacing w:val="-2"/>
                <w:kern w:val="0"/>
                <w:sz w:val="22"/>
                <w:szCs w:val="22"/>
                <w:lang w:val="pt-PT" w:eastAsia="en-US" w:bidi="ar-SA"/>
              </w:rPr>
              <w:t>(PEAP);</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II -</w:t>
            </w:r>
            <w:r>
              <w:rPr>
                <w:rStyle w:val="Fontepargpadro1"/>
                <w:rFonts w:eastAsia="Calibri" w:cs="Calibri"/>
                <w:kern w:val="0"/>
                <w:sz w:val="22"/>
                <w:szCs w:val="22"/>
                <w:lang w:val="pt-BR" w:eastAsia="en-US" w:bidi="ar-SA"/>
              </w:rPr>
              <w:t xml:space="preserve"> estabelecer protocolos operacionais padronizados</w:t>
            </w:r>
            <w:r>
              <w:rPr>
                <w:rStyle w:val="Fontepargpadro1"/>
                <w:rFonts w:eastAsia="Calibri" w:cs="Calibri"/>
                <w:spacing w:val="-2"/>
                <w:kern w:val="0"/>
                <w:sz w:val="22"/>
                <w:szCs w:val="22"/>
                <w:lang w:val="pt-PT" w:eastAsia="en-US" w:bidi="ar-SA"/>
              </w:rPr>
              <w:t>;</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III -</w:t>
            </w:r>
            <w:r>
              <w:rPr>
                <w:rStyle w:val="Fontepargpadro1"/>
                <w:rFonts w:eastAsia="Calibri" w:cs="Calibri"/>
                <w:kern w:val="0"/>
                <w:sz w:val="22"/>
                <w:szCs w:val="22"/>
                <w:lang w:val="pt-BR" w:eastAsia="en-US" w:bidi="ar-SA"/>
              </w:rPr>
              <w:t xml:space="preserve"> determinar, supervisionar e fiscalizar o cumprimento de medidas fitossanitárias obrigatórias;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IV -</w:t>
            </w:r>
            <w:r>
              <w:rPr>
                <w:rStyle w:val="Fontepargpadro1"/>
                <w:rFonts w:eastAsia="Calibri" w:cs="Calibri"/>
                <w:spacing w:val="-2"/>
                <w:kern w:val="0"/>
                <w:sz w:val="22"/>
                <w:szCs w:val="22"/>
                <w:lang w:val="pt-PT" w:eastAsia="en-US" w:bidi="ar-SA"/>
              </w:rPr>
              <w:t xml:space="preserve"> manter sistema oficial de monitoramento, rastreabilidade e registro das ocorrências, mantendo em seu </w:t>
            </w:r>
            <w:r>
              <w:rPr>
                <w:rStyle w:val="Fontepargpadro1"/>
                <w:rFonts w:eastAsia="Calibri" w:cs="Calibri"/>
                <w:i/>
                <w:iCs/>
                <w:spacing w:val="-2"/>
                <w:kern w:val="0"/>
                <w:sz w:val="22"/>
                <w:szCs w:val="22"/>
                <w:lang w:val="pt-PT" w:eastAsia="en-US" w:bidi="ar-SA"/>
              </w:rPr>
              <w:t>site</w:t>
            </w:r>
            <w:r>
              <w:rPr>
                <w:rStyle w:val="Fontepargpadro1"/>
                <w:rFonts w:eastAsia="Calibri" w:cs="Calibri"/>
                <w:spacing w:val="-2"/>
                <w:kern w:val="0"/>
                <w:sz w:val="22"/>
                <w:szCs w:val="22"/>
                <w:lang w:val="pt-PT" w:eastAsia="en-US" w:bidi="ar-SA"/>
              </w:rPr>
              <w:t xml:space="preserve"> eletrônico, a relação das propriedades com ocorrência oficialmente constatada de</w:t>
            </w:r>
            <w:r>
              <w:rPr>
                <w:rStyle w:val="Fontepargpadro1"/>
                <w:rFonts w:eastAsia="Calibri" w:cs="Calibri"/>
                <w:i/>
                <w:iCs/>
                <w:spacing w:val="-2"/>
                <w:kern w:val="0"/>
                <w:sz w:val="22"/>
                <w:szCs w:val="22"/>
                <w:lang w:val="pt-PT" w:eastAsia="en-US" w:bidi="ar-SA"/>
              </w:rPr>
              <w:t xml:space="preserve"> Amaranthus palmeri.</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kern w:val="0"/>
                <w:sz w:val="22"/>
                <w:szCs w:val="22"/>
                <w:lang w:val="pt-BR" w:eastAsia="en-US" w:bidi="ar-SA"/>
              </w:rPr>
              <w:t>Art. 4º Para os fins desta Instrução Normativa, considera-se:</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 xml:space="preserve">I - </w:t>
            </w:r>
            <w:r>
              <w:rPr>
                <w:rStyle w:val="Fontepargpadro1"/>
                <w:rFonts w:eastAsia="Calibri" w:cs="Calibri"/>
                <w:kern w:val="0"/>
                <w:sz w:val="22"/>
                <w:szCs w:val="22"/>
                <w:lang w:val="pt-BR" w:eastAsia="en-US" w:bidi="ar-SA"/>
              </w:rPr>
              <w:t xml:space="preserve">área com ocorrência da praga: unidade de produção ou exploração dedicada, total ou parcialmente, a atividades agropecuárias, rural ou urbana, independentemente de seu tamanho, de sua forma jurídica, previamente delimitada, com ocorrência da praga </w:t>
            </w:r>
            <w:r>
              <w:rPr>
                <w:rStyle w:val="Fontepargpadro1"/>
                <w:rFonts w:eastAsia="Calibri" w:cs="Calibri"/>
                <w:i/>
                <w:iCs/>
                <w:kern w:val="0"/>
                <w:sz w:val="22"/>
                <w:szCs w:val="22"/>
                <w:lang w:val="pt-BR" w:eastAsia="en-US" w:bidi="ar-SA"/>
              </w:rPr>
              <w:t>Amaranthus palmeri</w:t>
            </w:r>
            <w:r>
              <w:rPr>
                <w:rStyle w:val="Fontepargpadro1"/>
                <w:rFonts w:eastAsia="Calibri" w:cs="Calibri"/>
                <w:kern w:val="0"/>
                <w:sz w:val="22"/>
                <w:szCs w:val="22"/>
                <w:lang w:val="pt-BR" w:eastAsia="en-US" w:bidi="ar-SA"/>
              </w:rPr>
              <w:t>, confirmada oficialmente por qualquer das instâncias do Sistema Unificado de Atenção à Sanidade Agropecuária SUASA;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II -</w:t>
            </w:r>
            <w:r>
              <w:rPr>
                <w:rStyle w:val="Fontepargpadro1"/>
                <w:rFonts w:eastAsia="Calibri" w:cs="Calibri"/>
                <w:kern w:val="0"/>
                <w:sz w:val="22"/>
                <w:szCs w:val="22"/>
                <w:lang w:val="pt-BR" w:eastAsia="en-US" w:bidi="ar-SA"/>
              </w:rPr>
              <w:t xml:space="preserve"> área de contenção: área periférica de 5(cinco) quilômetros, a partir da coordenada geográfica do foco, delimitada tecnicamente pela Agrodefesa com o objetivo de impedir a disseminação da praga;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III -</w:t>
            </w:r>
            <w:r>
              <w:rPr>
                <w:rStyle w:val="Fontepargpadro1"/>
                <w:rFonts w:eastAsia="Calibri" w:cs="Calibri"/>
                <w:kern w:val="0"/>
                <w:sz w:val="22"/>
                <w:szCs w:val="22"/>
                <w:lang w:val="pt-BR" w:eastAsia="en-US" w:bidi="ar-SA"/>
              </w:rPr>
              <w:t xml:space="preserve"> área sob interdição: propriedade, talhão ou parte destes interditados por ato administrativo da Agrodefesa;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IV -</w:t>
            </w:r>
            <w:r>
              <w:rPr>
                <w:rStyle w:val="Fontepargpadro1"/>
                <w:rFonts w:eastAsia="Calibri" w:cs="Calibri"/>
                <w:kern w:val="0"/>
                <w:sz w:val="22"/>
                <w:szCs w:val="22"/>
                <w:lang w:val="pt-BR" w:eastAsia="en-US" w:bidi="ar-SA"/>
              </w:rPr>
              <w:t xml:space="preserve"> área suspeita: propriedade, talhão ou qualquer outro local, em que há suspeita da ocorrência de </w:t>
            </w:r>
            <w:r>
              <w:rPr>
                <w:rStyle w:val="Fontepargpadro1"/>
                <w:rFonts w:eastAsia="Calibri" w:cs="Calibri"/>
                <w:i/>
                <w:iCs/>
                <w:kern w:val="0"/>
                <w:sz w:val="22"/>
                <w:szCs w:val="22"/>
                <w:lang w:val="pt-BR" w:eastAsia="en-US" w:bidi="ar-SA"/>
              </w:rPr>
              <w:t>Amaranthus</w:t>
            </w:r>
            <w:r>
              <w:rPr>
                <w:rStyle w:val="Fontepargpadro1"/>
                <w:rFonts w:eastAsia="Calibri" w:cs="Calibri"/>
                <w:i/>
                <w:iCs/>
                <w:spacing w:val="-2"/>
                <w:kern w:val="0"/>
                <w:sz w:val="22"/>
                <w:szCs w:val="22"/>
                <w:lang w:val="pt-PT" w:eastAsia="en-US" w:bidi="ar-SA"/>
              </w:rPr>
              <w:t xml:space="preserve"> palmeri</w:t>
            </w:r>
            <w:r>
              <w:rPr>
                <w:rStyle w:val="Fontepargpadro1"/>
                <w:rFonts w:eastAsia="Calibri" w:cs="Calibri"/>
                <w:kern w:val="0"/>
                <w:sz w:val="22"/>
                <w:szCs w:val="22"/>
                <w:lang w:val="pt-BR" w:eastAsia="en-US" w:bidi="ar-SA"/>
              </w:rPr>
              <w:t>, aguardando laudo laboratorial confirmando a detecção;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V -</w:t>
            </w:r>
            <w:r>
              <w:rPr>
                <w:rStyle w:val="Fontepargpadro1"/>
                <w:rFonts w:eastAsia="Calibri" w:cs="Calibri"/>
                <w:kern w:val="0"/>
                <w:sz w:val="22"/>
                <w:szCs w:val="22"/>
                <w:lang w:val="pt-BR" w:eastAsia="en-US" w:bidi="ar-SA"/>
              </w:rPr>
              <w:t xml:space="preserve"> implemento agrícola: equipamento acoplado, rebocado ou em conjunto com máquinas agrícolas, utilizados em atividades de preparo de solo, plantio, pulverização, cultivo, colheita, transporte ou beneficiamento de produtos agropecuários;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VI -</w:t>
            </w:r>
            <w:r>
              <w:rPr>
                <w:rStyle w:val="Fontepargpadro1"/>
                <w:rFonts w:eastAsia="Calibri" w:cs="Calibri"/>
                <w:kern w:val="0"/>
                <w:sz w:val="22"/>
                <w:szCs w:val="22"/>
                <w:lang w:val="pt-BR" w:eastAsia="en-US" w:bidi="ar-SA"/>
              </w:rPr>
              <w:t xml:space="preserve"> foco: local de origem da infestação, com área específica e georreferenciada, após detecção confirmada por laudo laboratorial;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VII -</w:t>
            </w:r>
            <w:r>
              <w:rPr>
                <w:rStyle w:val="Fontepargpadro1"/>
                <w:rFonts w:eastAsia="Calibri" w:cs="Calibri"/>
                <w:kern w:val="0"/>
                <w:sz w:val="22"/>
                <w:szCs w:val="22"/>
                <w:lang w:val="pt-BR" w:eastAsia="en-US" w:bidi="ar-SA"/>
              </w:rPr>
              <w:t xml:space="preserve"> levantamento de delimitação: vistoria realizada após a detecção de foco, nas propriedades localizadas na área de contenção, para mapear a extensão da infestação;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VIII -</w:t>
            </w:r>
            <w:r>
              <w:rPr>
                <w:rStyle w:val="Fontepargpadro1"/>
                <w:rFonts w:eastAsia="Calibri" w:cs="Calibri"/>
                <w:kern w:val="0"/>
                <w:sz w:val="22"/>
                <w:szCs w:val="22"/>
                <w:lang w:val="pt-BR" w:eastAsia="en-US" w:bidi="ar-SA"/>
              </w:rPr>
              <w:t xml:space="preserve"> levantamento de detecção: inspeção fitossanitária realizada em áreas sem ocorrência com o objetivo de monitorar a ocorrência da praga;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 xml:space="preserve">IX - </w:t>
            </w:r>
            <w:r>
              <w:rPr>
                <w:rStyle w:val="Fontepargpadro1"/>
                <w:rFonts w:eastAsia="Calibri" w:cs="Calibri"/>
                <w:kern w:val="0"/>
                <w:sz w:val="22"/>
                <w:szCs w:val="22"/>
                <w:lang w:val="pt-BR" w:eastAsia="en-US" w:bidi="ar-SA"/>
              </w:rPr>
              <w:t>limpeza fitossanitária: o procedimento destinado à remoção de solo, resíduos vegetais, sementes, água, matéria orgânica e demais materiais com potencial de disseminação de pragas;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X -</w:t>
            </w:r>
            <w:r>
              <w:rPr>
                <w:rStyle w:val="Fontepargpadro1"/>
                <w:rFonts w:eastAsia="Calibri" w:cs="Calibri"/>
                <w:kern w:val="0"/>
                <w:sz w:val="22"/>
                <w:szCs w:val="22"/>
                <w:lang w:val="pt-BR" w:eastAsia="en-US" w:bidi="ar-SA"/>
              </w:rPr>
              <w:t xml:space="preserve"> limpeza técnica: conjunto de procedimentos de limpeza e desinfestação, realizados para garantir a remoção interna e externa de todo o solo, restos vegetais e sementes aderidos a máquinas, implementos agrícolas e veículos de transporte;</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XI -</w:t>
            </w:r>
            <w:r>
              <w:rPr>
                <w:rStyle w:val="Fontepargpadro1"/>
                <w:rFonts w:eastAsia="Calibri" w:cs="Calibri"/>
                <w:kern w:val="0"/>
                <w:sz w:val="22"/>
                <w:szCs w:val="22"/>
                <w:lang w:val="pt-BR" w:eastAsia="en-US" w:bidi="ar-SA"/>
              </w:rPr>
              <w:t xml:space="preserve"> máquina agrícola: o equipamento automotor ou estacionário utilizado em operações agropecuárias;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XII -</w:t>
            </w:r>
            <w:r>
              <w:rPr>
                <w:rStyle w:val="Fontepargpadro1"/>
                <w:rFonts w:eastAsia="Calibri" w:cs="Calibri"/>
                <w:kern w:val="0"/>
                <w:sz w:val="22"/>
                <w:szCs w:val="22"/>
                <w:lang w:val="pt-BR" w:eastAsia="en-US" w:bidi="ar-SA"/>
              </w:rPr>
              <w:t xml:space="preserve"> materiais de risco: máquinas, equipamentos, implementos, veículos, solo, resíduos vegetais, cargas a granel, plantas, partes de plantas, sementes e quaisquer outros materiais com potencial de dispersão do </w:t>
            </w:r>
            <w:r>
              <w:rPr>
                <w:rStyle w:val="Fontepargpadro1"/>
                <w:rFonts w:eastAsia="Calibri" w:cs="Calibri"/>
                <w:i/>
                <w:iCs/>
                <w:kern w:val="0"/>
                <w:sz w:val="22"/>
                <w:szCs w:val="22"/>
                <w:lang w:val="pt-BR" w:eastAsia="en-US" w:bidi="ar-SA"/>
              </w:rPr>
              <w:t>Amaranthus palmeri</w:t>
            </w:r>
            <w:r>
              <w:rPr>
                <w:rStyle w:val="Fontepargpadro1"/>
                <w:rFonts w:eastAsia="Calibri" w:cs="Calibri"/>
                <w:kern w:val="0"/>
                <w:sz w:val="22"/>
                <w:szCs w:val="22"/>
                <w:lang w:val="pt-BR" w:eastAsia="en-US" w:bidi="ar-SA"/>
              </w:rPr>
              <w:t>;</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Standard"/>
              <w:widowControl/>
              <w:spacing w:before="0" w:after="0"/>
              <w:ind w:firstLine="57" w:left="57" w:right="57"/>
              <w:jc w:val="both"/>
              <w:rPr>
                <w:sz w:val="22"/>
                <w:szCs w:val="22"/>
              </w:rPr>
            </w:pPr>
            <w:r>
              <w:rPr>
                <w:rStyle w:val="Fontepargpadro1"/>
                <w:rFonts w:cs="Calibri" w:ascii="Calibri" w:hAnsi="Calibri"/>
                <w:b/>
                <w:bCs/>
                <w:sz w:val="22"/>
                <w:szCs w:val="22"/>
                <w:lang w:val="pt-BR"/>
              </w:rPr>
              <w:t>XIII -</w:t>
            </w:r>
            <w:r>
              <w:rPr>
                <w:rStyle w:val="Fontepargpadro1"/>
                <w:rFonts w:cs="Calibri" w:ascii="Calibri" w:hAnsi="Calibri"/>
                <w:sz w:val="22"/>
                <w:szCs w:val="22"/>
                <w:lang w:val="pt-BR"/>
              </w:rPr>
              <w:t xml:space="preserve"> propriedade com ocorrência da praga: unidade de produção ou exploração dedicada, total ou parcialmente, a atividades agropecuárias, rural ou urbana, independentemente de seu tamanho, de sua forma jurídica, previamente delimitada, com ocorrência da praga </w:t>
            </w:r>
            <w:r>
              <w:rPr>
                <w:rStyle w:val="Fontepargpadro1"/>
                <w:rFonts w:cs="Calibri" w:ascii="Calibri" w:hAnsi="Calibri"/>
                <w:i/>
                <w:iCs/>
                <w:sz w:val="22"/>
                <w:szCs w:val="22"/>
                <w:lang w:val="pt-BR"/>
              </w:rPr>
              <w:t>Amaranthus palmeri</w:t>
            </w:r>
            <w:r>
              <w:rPr>
                <w:rStyle w:val="Fontepargpadro1"/>
                <w:rFonts w:cs="Calibri" w:ascii="Calibri" w:hAnsi="Calibri"/>
                <w:sz w:val="22"/>
                <w:szCs w:val="22"/>
                <w:lang w:val="pt-BR"/>
              </w:rPr>
              <w:t>, confirmada oficialmente por qualquer das instâncias do Sistema Unificado de Atenção à Sanidade Agropecuária SUASA;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Standard"/>
              <w:widowControl/>
              <w:spacing w:before="0" w:after="0"/>
              <w:ind w:firstLine="57" w:left="57" w:right="57"/>
              <w:jc w:val="both"/>
              <w:rPr>
                <w:sz w:val="22"/>
                <w:szCs w:val="22"/>
              </w:rPr>
            </w:pPr>
            <w:r>
              <w:rPr>
                <w:rStyle w:val="Fontepargpadro1"/>
                <w:rFonts w:cs="Calibri" w:ascii="Calibri" w:hAnsi="Calibri"/>
                <w:b/>
                <w:bCs/>
                <w:sz w:val="22"/>
                <w:szCs w:val="22"/>
                <w:lang w:val="pt-BR"/>
              </w:rPr>
              <w:t>XIV -</w:t>
            </w:r>
            <w:r>
              <w:rPr>
                <w:rStyle w:val="Fontepargpadro1"/>
                <w:rFonts w:cs="Calibri" w:ascii="Calibri" w:hAnsi="Calibri"/>
                <w:sz w:val="22"/>
                <w:szCs w:val="22"/>
                <w:lang w:val="pt-BR"/>
              </w:rPr>
              <w:t xml:space="preserve"> restos culturais: parte da estrutura das plantas decorrentes da colheita, que ficam aderidas as máquinas ou implementos agrícolas, como parte de caule, vagens, palhas, fibrilhas, casquinhas, sementes de plantas daninhas, parte de plantas daninhas (caule, inflorescência) e grãos residuais;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 xml:space="preserve">XV - </w:t>
            </w:r>
            <w:r>
              <w:rPr>
                <w:rStyle w:val="Fontepargpadro1"/>
                <w:rFonts w:eastAsia="Calibri" w:cs="Calibri"/>
                <w:kern w:val="0"/>
                <w:sz w:val="22"/>
                <w:szCs w:val="22"/>
                <w:lang w:val="pt-BR" w:eastAsia="en-US" w:bidi="ar-SA"/>
              </w:rPr>
              <w:t>responsável pelo trânsito: a pessoa física ou jurídica responsável pelo deslocamento, transporte, operação, comercialização ou utilização da máquina, equipamento ou implemento agrícola.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10200" w:type="dxa"/>
            <w:gridSpan w:val="2"/>
            <w:tcBorders/>
          </w:tcPr>
          <w:p>
            <w:pPr>
              <w:pStyle w:val="Standard"/>
              <w:widowControl/>
              <w:spacing w:before="0" w:after="0"/>
              <w:ind w:firstLine="57" w:left="57" w:right="57"/>
              <w:jc w:val="center"/>
              <w:rPr>
                <w:sz w:val="20"/>
                <w:szCs w:val="20"/>
              </w:rPr>
            </w:pPr>
            <w:r>
              <w:rPr>
                <w:rStyle w:val="Fontepargpadro1"/>
                <w:rFonts w:cs="Calibri" w:ascii="Calibri" w:hAnsi="Calibri"/>
                <w:b/>
                <w:bCs/>
                <w:sz w:val="20"/>
                <w:szCs w:val="20"/>
                <w:lang w:val="pt-BR"/>
              </w:rPr>
              <w:t>CAPÍTULO II</w:t>
            </w:r>
          </w:p>
          <w:p>
            <w:pPr>
              <w:pStyle w:val="Standard"/>
              <w:widowControl/>
              <w:spacing w:before="0" w:after="0"/>
              <w:ind w:firstLine="57" w:left="57" w:right="57"/>
              <w:jc w:val="center"/>
              <w:rPr>
                <w:sz w:val="20"/>
                <w:szCs w:val="20"/>
              </w:rPr>
            </w:pPr>
            <w:r>
              <w:rPr>
                <w:rStyle w:val="Fontepargpadro1"/>
                <w:rFonts w:cs="Calibri" w:ascii="Calibri" w:hAnsi="Calibri"/>
                <w:b/>
                <w:bCs/>
                <w:sz w:val="20"/>
                <w:szCs w:val="20"/>
                <w:lang w:val="pt-BR"/>
              </w:rPr>
              <w:t>DAS MEDIDAS FITOSSANITÁRIAS DE PREVENÇÃO E CONTROLE DA PRAGA</w:t>
            </w:r>
          </w:p>
        </w:tc>
      </w:tr>
      <w:tr>
        <w:trPr/>
        <w:tc>
          <w:tcPr>
            <w:tcW w:w="5100" w:type="dxa"/>
            <w:tcBorders/>
          </w:tcPr>
          <w:p>
            <w:pPr>
              <w:pStyle w:val="Standard"/>
              <w:widowControl w:val="false"/>
              <w:spacing w:before="0" w:after="0"/>
              <w:ind w:firstLine="57" w:left="57" w:right="57"/>
              <w:jc w:val="both"/>
              <w:rPr>
                <w:sz w:val="22"/>
                <w:szCs w:val="22"/>
              </w:rPr>
            </w:pPr>
            <w:r>
              <w:rPr>
                <w:rStyle w:val="StrongEmphasis"/>
                <w:rFonts w:eastAsia="Calibri" w:cs="Calibri" w:ascii="Calibri" w:hAnsi="Calibri"/>
                <w:spacing w:val="-2"/>
                <w:kern w:val="0"/>
                <w:sz w:val="22"/>
                <w:szCs w:val="22"/>
                <w:lang w:val="pt-PT" w:eastAsia="en-US" w:bidi="ar-SA"/>
              </w:rPr>
              <w:t>Art. 5º</w:t>
            </w:r>
            <w:r>
              <w:rPr>
                <w:rFonts w:eastAsia="Calibri" w:cs="Calibri" w:ascii="Calibri" w:hAnsi="Calibri"/>
                <w:spacing w:val="-2"/>
                <w:kern w:val="0"/>
                <w:sz w:val="22"/>
                <w:szCs w:val="22"/>
                <w:lang w:val="pt-PT" w:eastAsia="en-US" w:bidi="ar-SA"/>
              </w:rPr>
              <w:t xml:space="preserve"> O PEAP visa estabelecer os critérios e procedimentos para redução do risco da introdução e da disseminação do </w:t>
            </w:r>
            <w:r>
              <w:rPr>
                <w:rFonts w:eastAsia="Calibri" w:cs="Calibri" w:ascii="Calibri" w:hAnsi="Calibri"/>
                <w:i/>
                <w:iCs/>
                <w:spacing w:val="-2"/>
                <w:kern w:val="0"/>
                <w:sz w:val="22"/>
                <w:szCs w:val="22"/>
                <w:lang w:val="pt-PT" w:eastAsia="en-US" w:bidi="ar-SA"/>
              </w:rPr>
              <w:t>Amaranthus palmeri</w:t>
            </w:r>
            <w:r>
              <w:rPr>
                <w:rFonts w:eastAsia="Calibri" w:cs="Calibri" w:ascii="Calibri" w:hAnsi="Calibri"/>
                <w:spacing w:val="-2"/>
                <w:kern w:val="0"/>
                <w:sz w:val="22"/>
                <w:szCs w:val="22"/>
                <w:lang w:val="pt-PT" w:eastAsia="en-US" w:bidi="ar-SA"/>
              </w:rPr>
              <w:t xml:space="preserve"> e o controle, supressão e erradicação, quando necessários, por meio de:</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Standard"/>
              <w:widowControl w:val="false"/>
              <w:spacing w:before="0" w:after="0"/>
              <w:ind w:firstLine="57" w:left="57" w:right="57"/>
              <w:jc w:val="both"/>
              <w:rPr>
                <w:sz w:val="22"/>
                <w:szCs w:val="22"/>
              </w:rPr>
            </w:pPr>
            <w:r>
              <w:rPr>
                <w:rFonts w:eastAsia="Calibri" w:cs="Calibri" w:ascii="Calibri" w:hAnsi="Calibri"/>
                <w:b/>
                <w:bCs/>
                <w:spacing w:val="-2"/>
                <w:kern w:val="0"/>
                <w:sz w:val="22"/>
                <w:szCs w:val="22"/>
                <w:lang w:val="pt-PT" w:eastAsia="en-US" w:bidi="ar-SA"/>
              </w:rPr>
              <w:t>I -</w:t>
            </w:r>
            <w:r>
              <w:rPr>
                <w:rFonts w:eastAsia="Calibri" w:cs="Calibri" w:ascii="Calibri" w:hAnsi="Calibri"/>
                <w:spacing w:val="-2"/>
                <w:kern w:val="0"/>
                <w:sz w:val="22"/>
                <w:szCs w:val="22"/>
                <w:lang w:val="pt-PT" w:eastAsia="en-US" w:bidi="ar-SA"/>
              </w:rPr>
              <w:t xml:space="preserve"> educação fitossanitária;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Textbody"/>
              <w:widowControl/>
              <w:spacing w:lineRule="auto" w:line="240" w:before="0" w:after="0"/>
              <w:ind w:firstLine="57" w:left="57" w:right="57"/>
              <w:jc w:val="both"/>
              <w:rPr>
                <w:rFonts w:ascii="Calibri" w:hAnsi="Calibri"/>
                <w:sz w:val="22"/>
                <w:szCs w:val="22"/>
              </w:rPr>
            </w:pPr>
            <w:r>
              <w:rPr>
                <w:rFonts w:eastAsia="Calibri" w:cs="Calibri" w:ascii="Calibri" w:hAnsi="Calibri"/>
                <w:b/>
                <w:bCs/>
                <w:spacing w:val="-2"/>
                <w:kern w:val="0"/>
                <w:sz w:val="22"/>
                <w:szCs w:val="22"/>
                <w:lang w:val="pt-PT" w:eastAsia="en-US" w:bidi="ar-SA"/>
              </w:rPr>
              <w:t>II -</w:t>
            </w:r>
            <w:r>
              <w:rPr>
                <w:rFonts w:eastAsia="Calibri" w:cs="Calibri" w:ascii="Calibri" w:hAnsi="Calibri"/>
                <w:spacing w:val="-2"/>
                <w:kern w:val="0"/>
                <w:sz w:val="22"/>
                <w:szCs w:val="22"/>
                <w:lang w:val="pt-PT" w:eastAsia="en-US" w:bidi="ar-SA"/>
              </w:rPr>
              <w:t xml:space="preserve"> vigilância fitossanitária:</w:t>
            </w:r>
          </w:p>
          <w:p>
            <w:pPr>
              <w:pStyle w:val="Textbody"/>
              <w:widowControl/>
              <w:spacing w:lineRule="auto" w:line="240" w:before="0" w:after="0"/>
              <w:ind w:firstLine="57" w:left="57" w:right="57"/>
              <w:jc w:val="both"/>
              <w:rPr>
                <w:rFonts w:ascii="Calibri" w:hAnsi="Calibri"/>
                <w:sz w:val="22"/>
                <w:szCs w:val="22"/>
              </w:rPr>
            </w:pPr>
            <w:r>
              <w:rPr>
                <w:rFonts w:eastAsia="Calibri" w:cs="Calibri" w:ascii="Calibri" w:hAnsi="Calibri"/>
                <w:b/>
                <w:bCs/>
                <w:spacing w:val="-2"/>
                <w:kern w:val="0"/>
                <w:sz w:val="22"/>
                <w:szCs w:val="22"/>
                <w:lang w:val="pt-PT" w:eastAsia="en-US" w:bidi="ar-SA"/>
              </w:rPr>
              <w:tab/>
              <w:tab/>
              <w:t>a)</w:t>
            </w:r>
            <w:r>
              <w:rPr>
                <w:rFonts w:eastAsia="Calibri" w:cs="Calibri" w:ascii="Calibri" w:hAnsi="Calibri"/>
                <w:spacing w:val="-2"/>
                <w:kern w:val="0"/>
                <w:sz w:val="22"/>
                <w:szCs w:val="22"/>
                <w:lang w:val="pt-PT" w:eastAsia="en-US" w:bidi="ar-SA"/>
              </w:rPr>
              <w:t xml:space="preserve"> fiscalização do trânsito intraestadual e interestadual de máquinas, equipamentos e implementos agrícolas;</w:t>
            </w:r>
          </w:p>
          <w:p>
            <w:pPr>
              <w:pStyle w:val="Textbody"/>
              <w:widowControl/>
              <w:spacing w:lineRule="auto" w:line="240" w:before="0" w:after="0"/>
              <w:ind w:firstLine="57" w:left="57" w:right="57"/>
              <w:jc w:val="both"/>
              <w:rPr>
                <w:rFonts w:ascii="Calibri" w:hAnsi="Calibri"/>
                <w:sz w:val="22"/>
                <w:szCs w:val="22"/>
              </w:rPr>
            </w:pPr>
            <w:r>
              <w:rPr>
                <w:rFonts w:eastAsia="Calibri" w:cs="Calibri" w:ascii="Calibri" w:hAnsi="Calibri"/>
                <w:b/>
                <w:bCs/>
                <w:spacing w:val="-2"/>
                <w:kern w:val="0"/>
                <w:sz w:val="22"/>
                <w:szCs w:val="22"/>
                <w:lang w:val="pt-PT" w:eastAsia="en-US" w:bidi="ar-SA"/>
              </w:rPr>
              <w:tab/>
              <w:tab/>
              <w:t>b)</w:t>
            </w:r>
            <w:r>
              <w:rPr>
                <w:rFonts w:eastAsia="Calibri" w:cs="Calibri" w:ascii="Calibri" w:hAnsi="Calibri"/>
                <w:spacing w:val="-2"/>
                <w:kern w:val="0"/>
                <w:sz w:val="22"/>
                <w:szCs w:val="22"/>
                <w:lang w:val="pt-PT" w:eastAsia="en-US" w:bidi="ar-SA"/>
              </w:rPr>
              <w:t xml:space="preserve">  levantamento fitossanitário de detecção;</w:t>
            </w:r>
          </w:p>
          <w:p>
            <w:pPr>
              <w:pStyle w:val="Textbody"/>
              <w:widowControl/>
              <w:spacing w:lineRule="auto" w:line="240" w:before="0" w:after="0"/>
              <w:ind w:firstLine="57" w:left="57" w:right="57"/>
              <w:jc w:val="both"/>
              <w:rPr>
                <w:sz w:val="22"/>
                <w:szCs w:val="22"/>
              </w:rPr>
            </w:pPr>
            <w:r>
              <w:rPr>
                <w:rFonts w:eastAsia="Calibri" w:cs="Calibri" w:ascii="Calibri" w:hAnsi="Calibri"/>
                <w:b/>
                <w:bCs/>
                <w:spacing w:val="-2"/>
                <w:kern w:val="0"/>
                <w:sz w:val="22"/>
                <w:szCs w:val="22"/>
                <w:lang w:val="pt-PT" w:eastAsia="en-US" w:bidi="ar-SA"/>
              </w:rPr>
              <w:tab/>
              <w:tab/>
              <w:t xml:space="preserve">c) </w:t>
            </w:r>
            <w:r>
              <w:rPr>
                <w:rFonts w:eastAsia="Calibri" w:cs="Calibri" w:ascii="Calibri" w:hAnsi="Calibri"/>
                <w:spacing w:val="-2"/>
                <w:kern w:val="0"/>
                <w:sz w:val="22"/>
                <w:szCs w:val="22"/>
                <w:lang w:val="pt-PT" w:eastAsia="en-US" w:bidi="ar-SA"/>
              </w:rPr>
              <w:t>levantamento fitossanitário de delimitação.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Textbody"/>
              <w:widowControl/>
              <w:spacing w:lineRule="auto" w:line="240" w:before="0" w:after="0"/>
              <w:ind w:firstLine="57" w:left="57" w:right="57"/>
              <w:jc w:val="both"/>
              <w:rPr>
                <w:rFonts w:ascii="Calibri" w:hAnsi="Calibri"/>
                <w:sz w:val="22"/>
                <w:szCs w:val="22"/>
              </w:rPr>
            </w:pPr>
            <w:r>
              <w:rPr>
                <w:rFonts w:eastAsia="Calibri" w:cs="Calibri" w:ascii="Calibri" w:hAnsi="Calibri"/>
                <w:b/>
                <w:bCs/>
                <w:spacing w:val="-2"/>
                <w:kern w:val="0"/>
                <w:sz w:val="22"/>
                <w:szCs w:val="22"/>
                <w:lang w:val="pt-PT" w:eastAsia="en-US" w:bidi="ar-SA"/>
              </w:rPr>
              <w:t>III -</w:t>
            </w:r>
            <w:r>
              <w:rPr>
                <w:rFonts w:eastAsia="Calibri" w:cs="Calibri" w:ascii="Calibri" w:hAnsi="Calibri"/>
                <w:spacing w:val="-2"/>
                <w:kern w:val="0"/>
                <w:sz w:val="22"/>
                <w:szCs w:val="22"/>
                <w:lang w:val="pt-PT" w:eastAsia="en-US" w:bidi="ar-SA"/>
              </w:rPr>
              <w:t xml:space="preserve"> ações contingenciais:</w:t>
            </w:r>
          </w:p>
          <w:p>
            <w:pPr>
              <w:pStyle w:val="Textbody"/>
              <w:widowControl/>
              <w:spacing w:lineRule="auto" w:line="240" w:before="0" w:after="0"/>
              <w:ind w:firstLine="57" w:left="57" w:right="57"/>
              <w:jc w:val="both"/>
              <w:rPr>
                <w:rFonts w:ascii="Calibri" w:hAnsi="Calibri"/>
                <w:sz w:val="22"/>
                <w:szCs w:val="22"/>
              </w:rPr>
            </w:pPr>
            <w:r>
              <w:rPr>
                <w:rFonts w:eastAsia="Calibri" w:cs="Calibri" w:ascii="Calibri" w:hAnsi="Calibri"/>
                <w:b/>
                <w:bCs/>
                <w:spacing w:val="-2"/>
                <w:kern w:val="0"/>
                <w:sz w:val="22"/>
                <w:szCs w:val="22"/>
                <w:lang w:val="pt-PT" w:eastAsia="en-US" w:bidi="ar-SA"/>
              </w:rPr>
              <w:tab/>
              <w:tab/>
              <w:t>a)</w:t>
            </w:r>
            <w:r>
              <w:rPr>
                <w:rFonts w:eastAsia="Calibri" w:cs="Calibri" w:ascii="Calibri" w:hAnsi="Calibri"/>
                <w:spacing w:val="-2"/>
                <w:kern w:val="0"/>
                <w:sz w:val="22"/>
                <w:szCs w:val="22"/>
                <w:lang w:val="pt-PT" w:eastAsia="en-US" w:bidi="ar-SA"/>
              </w:rPr>
              <w:t xml:space="preserve"> atendimento a suspeitas e denúncias;</w:t>
            </w:r>
          </w:p>
          <w:p>
            <w:pPr>
              <w:pStyle w:val="Textbody"/>
              <w:widowControl/>
              <w:spacing w:lineRule="auto" w:line="240" w:before="0" w:after="0"/>
              <w:ind w:firstLine="57" w:left="57" w:right="57"/>
              <w:jc w:val="both"/>
              <w:rPr>
                <w:rFonts w:ascii="Calibri" w:hAnsi="Calibri" w:eastAsia="Calibri" w:cs="Calibri"/>
                <w:spacing w:val="-2"/>
                <w:kern w:val="0"/>
                <w:sz w:val="22"/>
                <w:szCs w:val="22"/>
                <w:lang w:val="pt-PT" w:eastAsia="en-US" w:bidi="ar-SA"/>
              </w:rPr>
            </w:pPr>
            <w:r>
              <w:rPr>
                <w:rFonts w:eastAsia="Calibri" w:cs="Calibri" w:ascii="Calibri" w:hAnsi="Calibri"/>
                <w:b/>
                <w:bCs/>
                <w:spacing w:val="-2"/>
                <w:kern w:val="0"/>
                <w:sz w:val="22"/>
                <w:szCs w:val="22"/>
                <w:lang w:val="pt-PT" w:eastAsia="en-US" w:bidi="ar-SA"/>
              </w:rPr>
              <w:tab/>
              <w:tab/>
              <w:t>b)</w:t>
            </w:r>
            <w:r>
              <w:rPr>
                <w:rFonts w:eastAsia="Calibri" w:cs="Calibri" w:ascii="Calibri" w:hAnsi="Calibri"/>
                <w:spacing w:val="-2"/>
                <w:kern w:val="0"/>
                <w:sz w:val="22"/>
                <w:szCs w:val="22"/>
                <w:lang w:val="pt-PT" w:eastAsia="en-US" w:bidi="ar-SA"/>
              </w:rPr>
              <w:t xml:space="preserve"> controle, supressão e erradicação dos focos;</w:t>
            </w:r>
          </w:p>
          <w:p>
            <w:pPr>
              <w:pStyle w:val="Textbody"/>
              <w:widowControl/>
              <w:spacing w:lineRule="auto" w:line="240" w:before="0" w:after="0"/>
              <w:ind w:firstLine="57" w:left="57" w:right="57"/>
              <w:jc w:val="both"/>
              <w:rPr>
                <w:sz w:val="22"/>
                <w:szCs w:val="22"/>
              </w:rPr>
            </w:pPr>
            <w:r>
              <w:rPr>
                <w:rFonts w:eastAsia="Calibri" w:cs="Calibri" w:ascii="Calibri" w:hAnsi="Calibri"/>
                <w:spacing w:val="-2"/>
                <w:kern w:val="0"/>
                <w:sz w:val="22"/>
                <w:szCs w:val="22"/>
                <w:lang w:val="pt-PT" w:eastAsia="en-US" w:bidi="ar-SA"/>
              </w:rPr>
              <w:tab/>
              <w:t xml:space="preserve">  </w:t>
              <w:tab/>
            </w:r>
            <w:r>
              <w:rPr>
                <w:rFonts w:eastAsia="Calibri" w:cs="Calibri" w:ascii="Calibri" w:hAnsi="Calibri"/>
                <w:b/>
                <w:bCs/>
                <w:spacing w:val="-2"/>
                <w:kern w:val="0"/>
                <w:sz w:val="22"/>
                <w:szCs w:val="22"/>
                <w:lang w:val="pt-PT" w:eastAsia="en-US" w:bidi="ar-SA"/>
              </w:rPr>
              <w:t>c)</w:t>
            </w:r>
            <w:r>
              <w:rPr>
                <w:rFonts w:eastAsia="Calibri" w:cs="Calibri" w:ascii="Calibri" w:hAnsi="Calibri"/>
                <w:spacing w:val="-2"/>
                <w:kern w:val="0"/>
                <w:sz w:val="22"/>
                <w:szCs w:val="22"/>
                <w:lang w:val="pt-PT" w:eastAsia="en-US" w:bidi="ar-SA"/>
              </w:rPr>
              <w:t xml:space="preserve"> medidas de interdição, contenção e quarentena.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Calibri"/>
                <w:b/>
                <w:bCs/>
                <w:spacing w:val="-2"/>
                <w:kern w:val="0"/>
                <w:sz w:val="22"/>
                <w:szCs w:val="22"/>
                <w:lang w:val="pt-PT" w:eastAsia="en-US" w:bidi="ar-SA"/>
              </w:rPr>
              <w:t>IV –</w:t>
            </w:r>
            <w:r>
              <w:rPr>
                <w:rFonts w:eastAsia="Calibri" w:cs="Calibri"/>
                <w:spacing w:val="-2"/>
                <w:kern w:val="0"/>
                <w:sz w:val="22"/>
                <w:szCs w:val="22"/>
                <w:lang w:val="pt-PT" w:eastAsia="en-US" w:bidi="ar-SA"/>
              </w:rPr>
              <w:t xml:space="preserve"> promover a integração das ações estaduais com o Programa Nacional de Prevenção e Controle da praga quarentenária presente </w:t>
            </w:r>
            <w:r>
              <w:rPr>
                <w:rFonts w:eastAsia="Calibri" w:cs="Calibri"/>
                <w:i/>
                <w:iCs/>
                <w:spacing w:val="-2"/>
                <w:kern w:val="0"/>
                <w:sz w:val="22"/>
                <w:szCs w:val="22"/>
                <w:lang w:val="pt-PT" w:eastAsia="en-US" w:bidi="ar-SA"/>
              </w:rPr>
              <w:t xml:space="preserve">Amaranthus palmeri, </w:t>
            </w:r>
            <w:r>
              <w:rPr>
                <w:rFonts w:eastAsia="Calibri" w:cs="Calibri"/>
                <w:spacing w:val="-2"/>
                <w:kern w:val="0"/>
                <w:sz w:val="22"/>
                <w:szCs w:val="22"/>
                <w:lang w:val="pt-PT" w:eastAsia="en-US" w:bidi="ar-SA"/>
              </w:rPr>
              <w:t>bem como cumprir as metas estipuladas pelo Departamento de Sanidade Vegetal e Insumos Agrícolas da Secretaria de Defesa Agropecuária do Ministério da Agricultura e Pecuária.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Calibri"/>
                <w:b/>
                <w:bCs/>
                <w:spacing w:val="-2"/>
                <w:kern w:val="0"/>
                <w:sz w:val="22"/>
                <w:szCs w:val="22"/>
                <w:lang w:val="pt-PT" w:eastAsia="en-US" w:bidi="ar-SA"/>
              </w:rPr>
              <w:t>V -</w:t>
            </w:r>
            <w:r>
              <w:rPr>
                <w:rFonts w:eastAsia="Calibri" w:cs="Calibri"/>
                <w:spacing w:val="-2"/>
                <w:kern w:val="0"/>
                <w:sz w:val="22"/>
                <w:szCs w:val="22"/>
                <w:lang w:val="pt-PT" w:eastAsia="en-US" w:bidi="ar-SA"/>
              </w:rPr>
              <w:t xml:space="preserve"> </w:t>
            </w:r>
            <w:r>
              <w:rPr>
                <w:rFonts w:eastAsia="Calibri" w:cs=""/>
                <w:color w:val="162937"/>
                <w:kern w:val="0"/>
                <w:sz w:val="22"/>
                <w:szCs w:val="22"/>
                <w:lang w:val="pt-BR" w:eastAsia="en-US" w:bidi="ar-SA"/>
              </w:rPr>
              <w:t>encaminhar relatório consolidado das ações realizadas e dos resultados obtidos, inclusive discriminando os municípios com a ocorrência, relativo ao PEAP  até o dia 31 de janeiro do ano subsequente.</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 xml:space="preserve">Parágrafo único. </w:t>
            </w:r>
            <w:r>
              <w:rPr>
                <w:rStyle w:val="Fontepargpadro1"/>
                <w:rFonts w:eastAsia="Calibri" w:cs="Calibri"/>
                <w:kern w:val="0"/>
                <w:sz w:val="22"/>
                <w:szCs w:val="22"/>
                <w:lang w:val="pt-BR" w:eastAsia="en-US" w:bidi="ar-SA"/>
              </w:rPr>
              <w:t xml:space="preserve">As ações especificadas no Art. 5º seguirão os procedimentos operacionais previstos pela Agência Goiana de Defesa Agropecuária (Agrodefesa) e em consonância com os procedimentos para realização de levantamentos fitossanitários de detecção da praga quarentenária presente </w:t>
            </w:r>
            <w:r>
              <w:rPr>
                <w:rStyle w:val="Fontepargpadro1"/>
                <w:rFonts w:eastAsia="Calibri" w:cs="Calibri"/>
                <w:i/>
                <w:iCs/>
                <w:spacing w:val="-2"/>
                <w:kern w:val="0"/>
                <w:sz w:val="22"/>
                <w:szCs w:val="22"/>
                <w:lang w:val="pt-PT" w:eastAsia="en-US" w:bidi="ar-SA"/>
              </w:rPr>
              <w:t xml:space="preserve">Amaranthus palmeri </w:t>
            </w:r>
            <w:r>
              <w:rPr>
                <w:rStyle w:val="Fontepargpadro1"/>
                <w:rFonts w:eastAsia="Calibri" w:cs="Calibri"/>
                <w:spacing w:val="-2"/>
                <w:kern w:val="0"/>
                <w:sz w:val="22"/>
                <w:szCs w:val="22"/>
                <w:lang w:val="pt-PT" w:eastAsia="en-US" w:bidi="ar-SA"/>
              </w:rPr>
              <w:t>pelo Departamento de Sanidade Vegetal e Insumos Agrícolas da Secretaria de Defesa Agropecuária do Ministério da Agricultura e Pecuária.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Calibri"/>
                <w:b/>
                <w:bCs/>
                <w:kern w:val="0"/>
                <w:sz w:val="22"/>
                <w:szCs w:val="22"/>
                <w:lang w:val="pt-BR" w:eastAsia="en-US" w:bidi="ar-SA"/>
              </w:rPr>
              <w:t>Art. 6º</w:t>
            </w:r>
            <w:r>
              <w:rPr>
                <w:rFonts w:eastAsia="Calibri" w:cs="Calibri"/>
                <w:kern w:val="0"/>
                <w:sz w:val="22"/>
                <w:szCs w:val="22"/>
                <w:lang w:val="pt-BR" w:eastAsia="en-US" w:bidi="ar-SA"/>
              </w:rPr>
              <w:t xml:space="preserve"> Para a aplicação das medidas de prevenção, controle, supressão e erradicação </w:t>
            </w:r>
            <w:r>
              <w:rPr>
                <w:rStyle w:val="StrongEmphasis"/>
                <w:rFonts w:eastAsia="Calibri" w:cs="Calibri"/>
                <w:kern w:val="0"/>
                <w:sz w:val="22"/>
                <w:szCs w:val="22"/>
                <w:lang w:val="pt-BR" w:eastAsia="en-US" w:bidi="ar-SA"/>
              </w:rPr>
              <w:t xml:space="preserve">do </w:t>
            </w:r>
            <w:r>
              <w:rPr>
                <w:rStyle w:val="StrongEmphasis"/>
                <w:rFonts w:eastAsia="Calibri" w:cs="Calibri"/>
                <w:i/>
                <w:iCs/>
                <w:kern w:val="0"/>
                <w:sz w:val="22"/>
                <w:szCs w:val="22"/>
                <w:lang w:val="pt-BR" w:eastAsia="en-US" w:bidi="ar-SA"/>
              </w:rPr>
              <w:t>Amaranthus palmeri</w:t>
            </w:r>
            <w:r>
              <w:rPr>
                <w:rFonts w:eastAsia="Calibri" w:cs="Calibri"/>
                <w:kern w:val="0"/>
                <w:sz w:val="22"/>
                <w:szCs w:val="22"/>
                <w:lang w:val="pt-BR" w:eastAsia="en-US" w:bidi="ar-SA"/>
              </w:rPr>
              <w:t>, ficam estabelecidas três categorias de áreas fitossanitárias de delimitação observando o</w:t>
            </w:r>
            <w:r>
              <w:rPr>
                <w:rFonts w:eastAsia="Calibri" w:cs="Calibri"/>
                <w:i/>
                <w:iCs/>
                <w:kern w:val="0"/>
                <w:sz w:val="22"/>
                <w:szCs w:val="22"/>
                <w:lang w:val="pt-BR" w:eastAsia="en-US" w:bidi="ar-SA"/>
              </w:rPr>
              <w:t xml:space="preserve"> status</w:t>
            </w:r>
            <w:r>
              <w:rPr>
                <w:rFonts w:eastAsia="Calibri" w:cs="Calibri"/>
                <w:kern w:val="0"/>
                <w:sz w:val="22"/>
                <w:szCs w:val="22"/>
                <w:lang w:val="pt-BR" w:eastAsia="en-US" w:bidi="ar-SA"/>
              </w:rPr>
              <w:t xml:space="preserve"> fitossanitário e os seguintes critérios: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Default"/>
              <w:widowControl/>
              <w:spacing w:lineRule="auto" w:line="276" w:before="57" w:after="57"/>
              <w:ind w:firstLine="57" w:left="57" w:right="57"/>
              <w:jc w:val="both"/>
              <w:rPr>
                <w:sz w:val="22"/>
                <w:szCs w:val="22"/>
              </w:rPr>
            </w:pPr>
            <w:r>
              <w:rPr>
                <w:rStyle w:val="Fontepargpadro1"/>
                <w:b/>
                <w:bCs/>
                <w:color w:val="auto"/>
                <w:kern w:val="0"/>
                <w:sz w:val="22"/>
                <w:szCs w:val="22"/>
                <w:lang w:val="pt-BR" w:eastAsia="en-US" w:bidi="ar-SA"/>
              </w:rPr>
              <w:t>I -</w:t>
            </w:r>
            <w:r>
              <w:rPr>
                <w:rStyle w:val="Fontepargpadro1"/>
                <w:color w:val="auto"/>
                <w:kern w:val="0"/>
                <w:sz w:val="22"/>
                <w:szCs w:val="22"/>
                <w:lang w:val="pt-BR" w:eastAsia="en-US" w:bidi="ar-SA"/>
              </w:rPr>
              <w:t xml:space="preserve"> Município com Ocorrência: município no qual foi confirmada oficialmente à presença </w:t>
            </w:r>
            <w:r>
              <w:rPr>
                <w:rStyle w:val="StrongEmphasis"/>
                <w:color w:val="auto"/>
                <w:kern w:val="0"/>
                <w:sz w:val="22"/>
                <w:szCs w:val="22"/>
                <w:lang w:val="pt-BR" w:eastAsia="en-US" w:bidi="ar-SA"/>
              </w:rPr>
              <w:t xml:space="preserve">de </w:t>
            </w:r>
            <w:r>
              <w:rPr>
                <w:rStyle w:val="StrongEmphasis"/>
                <w:i/>
                <w:iCs/>
                <w:color w:val="auto"/>
                <w:kern w:val="0"/>
                <w:sz w:val="22"/>
                <w:szCs w:val="22"/>
                <w:lang w:val="pt-BR" w:eastAsia="en-US" w:bidi="ar-SA"/>
              </w:rPr>
              <w:t>Amaranthus palmeri</w:t>
            </w:r>
            <w:r>
              <w:rPr>
                <w:rStyle w:val="Fontepargpadro1"/>
                <w:color w:val="auto"/>
                <w:kern w:val="0"/>
                <w:sz w:val="22"/>
                <w:szCs w:val="22"/>
                <w:lang w:val="pt-BR" w:eastAsia="en-US" w:bidi="ar-SA"/>
              </w:rPr>
              <w:t>;</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II -</w:t>
            </w:r>
            <w:r>
              <w:rPr>
                <w:rStyle w:val="Fontepargpadro1"/>
                <w:rFonts w:eastAsia="Calibri" w:cs="Calibri"/>
                <w:kern w:val="0"/>
                <w:sz w:val="22"/>
                <w:szCs w:val="22"/>
                <w:lang w:val="pt-BR" w:eastAsia="en-US" w:bidi="ar-SA"/>
              </w:rPr>
              <w:t xml:space="preserve"> Município Limítrofe de Ocorrência: município sem a presença da praga </w:t>
            </w:r>
            <w:r>
              <w:rPr>
                <w:rStyle w:val="StrongEmphasis"/>
                <w:rFonts w:eastAsia="Calibri" w:cs="Calibri"/>
                <w:i/>
                <w:iCs/>
                <w:kern w:val="0"/>
                <w:sz w:val="22"/>
                <w:szCs w:val="22"/>
                <w:lang w:val="pt-BR" w:eastAsia="en-US" w:bidi="ar-SA"/>
              </w:rPr>
              <w:t xml:space="preserve">Amaranthus palmeri </w:t>
            </w:r>
            <w:r>
              <w:rPr>
                <w:rStyle w:val="Fontepargpadro1"/>
                <w:rFonts w:eastAsia="Calibri" w:cs="Calibri"/>
                <w:kern w:val="0"/>
                <w:sz w:val="22"/>
                <w:szCs w:val="22"/>
                <w:lang w:val="pt-BR" w:eastAsia="en-US" w:bidi="ar-SA"/>
              </w:rPr>
              <w:t>que se limita com Município com Ocorrência;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III -</w:t>
            </w:r>
            <w:r>
              <w:rPr>
                <w:rStyle w:val="Fontepargpadro1"/>
                <w:rFonts w:eastAsia="Calibri" w:cs="Calibri"/>
                <w:spacing w:val="-2"/>
                <w:kern w:val="0"/>
                <w:sz w:val="22"/>
                <w:szCs w:val="22"/>
                <w:lang w:val="pt-PT" w:eastAsia="en-US" w:bidi="ar-SA"/>
              </w:rPr>
              <w:t xml:space="preserve"> Município Sem </w:t>
            </w:r>
            <w:r>
              <w:rPr>
                <w:rStyle w:val="Fontepargpadro1"/>
                <w:rFonts w:eastAsia="Calibri" w:cs="Calibri"/>
                <w:color w:val="000000"/>
                <w:spacing w:val="-2"/>
                <w:kern w:val="0"/>
                <w:sz w:val="22"/>
                <w:szCs w:val="22"/>
                <w:lang w:val="pt-PT" w:eastAsia="en-US" w:bidi="ar-SA"/>
              </w:rPr>
              <w:t>Ocorrência</w:t>
            </w:r>
            <w:r>
              <w:rPr>
                <w:rStyle w:val="Fontepargpadro1"/>
                <w:rFonts w:eastAsia="Calibri" w:cs="Calibri"/>
                <w:b/>
                <w:bCs/>
                <w:spacing w:val="-2"/>
                <w:kern w:val="0"/>
                <w:sz w:val="22"/>
                <w:szCs w:val="22"/>
                <w:lang w:val="pt-PT" w:eastAsia="en-US" w:bidi="ar-SA"/>
              </w:rPr>
              <w:t>:</w:t>
            </w:r>
            <w:r>
              <w:rPr>
                <w:rStyle w:val="Fontepargpadro1"/>
                <w:rFonts w:eastAsia="Calibri" w:cs="Calibri"/>
                <w:spacing w:val="-2"/>
                <w:kern w:val="0"/>
                <w:sz w:val="22"/>
                <w:szCs w:val="22"/>
                <w:lang w:val="pt-PT" w:eastAsia="en-US" w:bidi="ar-SA"/>
              </w:rPr>
              <w:t xml:space="preserve"> município sem a presença da praga </w:t>
            </w:r>
            <w:r>
              <w:rPr>
                <w:rStyle w:val="StrongEmphasis"/>
                <w:rFonts w:eastAsia="Calibri" w:cs="Calibri"/>
                <w:i/>
                <w:iCs/>
                <w:spacing w:val="-2"/>
                <w:kern w:val="0"/>
                <w:sz w:val="22"/>
                <w:szCs w:val="22"/>
                <w:lang w:val="pt-PT" w:eastAsia="en-US" w:bidi="ar-SA"/>
              </w:rPr>
              <w:t xml:space="preserve">Amaranthus palmeri </w:t>
            </w:r>
            <w:r>
              <w:rPr>
                <w:rStyle w:val="Fontepargpadro1"/>
                <w:rFonts w:eastAsia="Calibri" w:cs="Calibri"/>
                <w:spacing w:val="-2"/>
                <w:kern w:val="0"/>
                <w:sz w:val="22"/>
                <w:szCs w:val="22"/>
                <w:lang w:val="pt-PT" w:eastAsia="en-US" w:bidi="ar-SA"/>
              </w:rPr>
              <w:t xml:space="preserve"> e que não seja limítrofe a área de ocorrência.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Art. 7º</w:t>
            </w:r>
            <w:r>
              <w:rPr>
                <w:rStyle w:val="Fontepargpadro1"/>
                <w:rFonts w:eastAsia="Calibri" w:cs="Calibri"/>
                <w:spacing w:val="-2"/>
                <w:kern w:val="0"/>
                <w:sz w:val="22"/>
                <w:szCs w:val="22"/>
                <w:lang w:val="pt-PT" w:eastAsia="en-US" w:bidi="ar-SA"/>
              </w:rPr>
              <w:t xml:space="preserve"> A Agrodefesa realizará levantamento fitossanitário de detecção, que consiste em verificar de maneira eficaz e efetiva o surgimento de focos da praga </w:t>
            </w:r>
            <w:r>
              <w:rPr>
                <w:rStyle w:val="StrongEmphasis"/>
                <w:rFonts w:eastAsia="Calibri" w:cs="Calibri"/>
                <w:i/>
                <w:iCs/>
                <w:spacing w:val="-2"/>
                <w:kern w:val="0"/>
                <w:sz w:val="22"/>
                <w:szCs w:val="22"/>
                <w:lang w:val="pt-PT" w:eastAsia="en-US" w:bidi="ar-SA"/>
              </w:rPr>
              <w:t xml:space="preserve">Amaranthus palmeri </w:t>
            </w:r>
            <w:r>
              <w:rPr>
                <w:rStyle w:val="Fontepargpadro1"/>
                <w:rFonts w:eastAsia="Calibri" w:cs="Calibri"/>
                <w:spacing w:val="-2"/>
                <w:kern w:val="0"/>
                <w:sz w:val="22"/>
                <w:szCs w:val="22"/>
                <w:lang w:val="pt-PT" w:eastAsia="en-US" w:bidi="ar-SA"/>
              </w:rPr>
              <w:t xml:space="preserve"> conforme o disposto: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 -</w:t>
            </w:r>
            <w:r>
              <w:rPr>
                <w:rStyle w:val="Fontepargpadro1"/>
                <w:rFonts w:eastAsia="Calibri" w:cs="Calibri"/>
                <w:kern w:val="0"/>
                <w:sz w:val="22"/>
                <w:szCs w:val="22"/>
                <w:lang w:val="pt-BR" w:eastAsia="en-US" w:bidi="ar-SA"/>
              </w:rPr>
              <w:t xml:space="preserve"> o levantamento será anual, conforme procedimentos e metas estipulados pelo Departamento de Sanidade Vegetal e Insumos Agrícolas da Secretaria de Defesa Agropecuária do Ministério da Agricultura e Pecuária.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2"/>
                <w:szCs w:val="22"/>
                <w:lang w:val="pt-BR" w:eastAsia="en-US" w:bidi="ar-SA"/>
              </w:rPr>
              <w:t>II -</w:t>
            </w:r>
            <w:r>
              <w:rPr>
                <w:rStyle w:val="Fontepargpadro1"/>
                <w:rFonts w:eastAsia="Calibri" w:cs="Calibri"/>
                <w:kern w:val="0"/>
                <w:sz w:val="22"/>
                <w:szCs w:val="22"/>
                <w:lang w:val="pt-BR" w:eastAsia="en-US" w:bidi="ar-SA"/>
              </w:rPr>
              <w:t xml:space="preserve"> o levantamento abrangerá, no mínimo, 1% (um por cento) das propriedades com cultivo comercial de culturas com programa oficial de prevenção, controle e erradicação de pragas e em áreas de cultivo com outras culturas passíveis de introdução da praga;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III -</w:t>
            </w:r>
            <w:r>
              <w:rPr>
                <w:rStyle w:val="Fontepargpadro1"/>
                <w:rFonts w:eastAsia="Calibri" w:cs="Calibri"/>
                <w:spacing w:val="-2"/>
                <w:kern w:val="0"/>
                <w:sz w:val="22"/>
                <w:szCs w:val="22"/>
                <w:lang w:val="pt-PT" w:eastAsia="en-US" w:bidi="ar-SA"/>
              </w:rPr>
              <w:t xml:space="preserve"> em caso de detecção da praga, o levantamento passará a ser de delimitação, que será realizado nos municípios limítrofes àqueles com ocorrência comprovada, assim como em propriedades destinatárias de máquinas, equipamentos e implementos agrícolas, que tenham sido utilizados na propriedade onde houve a detecção;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 xml:space="preserve">IV - </w:t>
            </w:r>
            <w:r>
              <w:rPr>
                <w:rStyle w:val="Fontepargpadro1"/>
                <w:rFonts w:eastAsia="Calibri" w:cs="Calibri"/>
                <w:spacing w:val="-2"/>
                <w:kern w:val="0"/>
                <w:sz w:val="22"/>
                <w:szCs w:val="22"/>
                <w:lang w:val="pt-PT" w:eastAsia="en-US" w:bidi="ar-SA"/>
              </w:rPr>
              <w:t>havendo novos focos, o levantamento será ampliado para as demais propriedades limítrofes vizinhas.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Parágrafo único:</w:t>
            </w:r>
            <w:r>
              <w:rPr>
                <w:rStyle w:val="Fontepargpadro1"/>
                <w:rFonts w:eastAsia="Calibri" w:cs="Calibri"/>
                <w:spacing w:val="-2"/>
                <w:kern w:val="0"/>
                <w:sz w:val="22"/>
                <w:szCs w:val="22"/>
                <w:lang w:val="pt-PT" w:eastAsia="en-US" w:bidi="ar-SA"/>
              </w:rPr>
              <w:t xml:space="preserve"> Para a seleção das propriedades será considerado, prioritariamente, os seguintes aspectos: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 –</w:t>
            </w:r>
            <w:r>
              <w:rPr>
                <w:rStyle w:val="Fontepargpadro1"/>
                <w:rFonts w:eastAsia="Calibri" w:cs="Calibri"/>
                <w:spacing w:val="-2"/>
                <w:kern w:val="0"/>
                <w:sz w:val="22"/>
                <w:szCs w:val="22"/>
                <w:lang w:val="pt-PT" w:eastAsia="en-US" w:bidi="ar-SA"/>
              </w:rPr>
              <w:t xml:space="preserve"> propriedades com histórico de importação de máquinas, equipamentos e implementos agrícolas, conforme listagem fornecida pela Vigilância Agropecuária Internacional  do Ministério da Agricultura e Pecuária (VIGIAGRO);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II –</w:t>
            </w:r>
            <w:r>
              <w:rPr>
                <w:rStyle w:val="Fontepargpadro1"/>
                <w:rFonts w:eastAsia="Calibri" w:cs="Calibri"/>
                <w:spacing w:val="-2"/>
                <w:kern w:val="0"/>
                <w:sz w:val="22"/>
                <w:szCs w:val="22"/>
                <w:lang w:val="pt-PT" w:eastAsia="en-US" w:bidi="ar-SA"/>
              </w:rPr>
              <w:t xml:space="preserve"> propriedades com fluxo de máquinas, equipamentos e implementos agrícolas provenientes dos estados com ocorrência confirmada de focos da praga;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III –</w:t>
            </w:r>
            <w:r>
              <w:rPr>
                <w:rStyle w:val="Fontepargpadro1"/>
                <w:rFonts w:eastAsia="Calibri" w:cs="Calibri"/>
                <w:spacing w:val="-2"/>
                <w:kern w:val="0"/>
                <w:sz w:val="22"/>
                <w:szCs w:val="22"/>
                <w:lang w:val="pt-PT" w:eastAsia="en-US" w:bidi="ar-SA"/>
              </w:rPr>
              <w:t xml:space="preserve"> proximidades com municípios com ocorrência da praga </w:t>
            </w:r>
            <w:r>
              <w:rPr>
                <w:rStyle w:val="Fontepargpadro1"/>
                <w:rFonts w:eastAsia="Calibri" w:cs="Calibri"/>
                <w:i/>
                <w:iCs/>
                <w:spacing w:val="-2"/>
                <w:kern w:val="0"/>
                <w:sz w:val="22"/>
                <w:szCs w:val="22"/>
                <w:lang w:val="pt-PT" w:eastAsia="en-US" w:bidi="ar-SA"/>
              </w:rPr>
              <w:t>Amaranthus palmeri</w:t>
            </w:r>
            <w:r>
              <w:rPr>
                <w:rStyle w:val="Fontepargpadro1"/>
                <w:rFonts w:eastAsia="Calibri" w:cs="Calibri"/>
                <w:spacing w:val="-2"/>
                <w:kern w:val="0"/>
                <w:sz w:val="22"/>
                <w:szCs w:val="22"/>
                <w:lang w:val="pt-PT" w:eastAsia="en-US" w:bidi="ar-SA"/>
              </w:rPr>
              <w:t>;</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IV –</w:t>
            </w:r>
            <w:r>
              <w:rPr>
                <w:rStyle w:val="Fontepargpadro1"/>
                <w:rFonts w:eastAsia="Calibri" w:cs="Calibri"/>
                <w:spacing w:val="-2"/>
                <w:kern w:val="0"/>
                <w:sz w:val="22"/>
                <w:szCs w:val="22"/>
                <w:lang w:val="pt-PT" w:eastAsia="en-US" w:bidi="ar-SA"/>
              </w:rPr>
              <w:t xml:space="preserve"> propriedades com relatos da presença de plantas do gênero </w:t>
            </w:r>
            <w:r>
              <w:rPr>
                <w:rStyle w:val="Fontepargpadro1"/>
                <w:rFonts w:eastAsia="Calibri" w:cs="Calibri"/>
                <w:i/>
                <w:iCs/>
                <w:spacing w:val="-2"/>
                <w:kern w:val="0"/>
                <w:sz w:val="22"/>
                <w:szCs w:val="22"/>
                <w:lang w:val="pt-PT" w:eastAsia="en-US" w:bidi="ar-SA"/>
              </w:rPr>
              <w:t>Amaranthus</w:t>
            </w:r>
            <w:r>
              <w:rPr>
                <w:rStyle w:val="Fontepargpadro1"/>
                <w:rFonts w:eastAsia="Calibri" w:cs="Calibri"/>
                <w:spacing w:val="-2"/>
                <w:kern w:val="0"/>
                <w:sz w:val="22"/>
                <w:szCs w:val="22"/>
                <w:lang w:val="pt-PT" w:eastAsia="en-US" w:bidi="ar-SA"/>
              </w:rPr>
              <w:t xml:space="preserve"> que apresentem resistência a herbicidas.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Art. 8º</w:t>
            </w:r>
            <w:r>
              <w:rPr>
                <w:rStyle w:val="Fontepargpadro1"/>
                <w:rFonts w:eastAsia="Calibri" w:cs="Calibri"/>
                <w:spacing w:val="-2"/>
                <w:kern w:val="0"/>
                <w:sz w:val="22"/>
                <w:szCs w:val="22"/>
                <w:lang w:val="pt-PT" w:eastAsia="en-US" w:bidi="ar-SA"/>
              </w:rPr>
              <w:t xml:space="preserve"> Em propriedades com ocorrência da praga </w:t>
            </w:r>
            <w:r>
              <w:rPr>
                <w:rStyle w:val="StrongEmphasis"/>
                <w:rFonts w:eastAsia="Calibri" w:cs="Calibri"/>
                <w:i/>
                <w:iCs/>
                <w:spacing w:val="-2"/>
                <w:kern w:val="0"/>
                <w:sz w:val="22"/>
                <w:szCs w:val="22"/>
                <w:lang w:val="pt-PT" w:eastAsia="en-US" w:bidi="ar-SA"/>
              </w:rPr>
              <w:t xml:space="preserve">Amaranthus palmeri </w:t>
            </w:r>
            <w:r>
              <w:rPr>
                <w:rStyle w:val="Fontepargpadro1"/>
                <w:rFonts w:eastAsia="Calibri" w:cs="Calibri"/>
                <w:spacing w:val="-2"/>
                <w:kern w:val="0"/>
                <w:sz w:val="22"/>
                <w:szCs w:val="22"/>
                <w:lang w:val="pt-PT" w:eastAsia="en-US" w:bidi="ar-SA"/>
              </w:rPr>
              <w:t>confirmada oficialmente, a Agrodefesa aplicará as medidas de contenção, supressão e erradicação de foco.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Cs/>
                <w:spacing w:val="-2"/>
                <w:kern w:val="0"/>
                <w:sz w:val="22"/>
                <w:szCs w:val="22"/>
                <w:lang w:val="pt-PT" w:eastAsia="en-US" w:bidi="ar-SA"/>
              </w:rPr>
              <w:t>I -</w:t>
            </w:r>
            <w:r>
              <w:rPr>
                <w:rStyle w:val="Fontepargpadro1"/>
                <w:rFonts w:eastAsia="Calibri" w:cs="Calibri"/>
                <w:spacing w:val="-2"/>
                <w:kern w:val="0"/>
                <w:sz w:val="22"/>
                <w:szCs w:val="22"/>
                <w:lang w:val="pt-PT" w:eastAsia="en-US" w:bidi="ar-SA"/>
              </w:rPr>
              <w:t xml:space="preserve"> as plantas do gênero </w:t>
            </w:r>
            <w:r>
              <w:rPr>
                <w:rStyle w:val="Fontepargpadro1"/>
                <w:rFonts w:eastAsia="Calibri" w:cs="Calibri"/>
                <w:i/>
                <w:iCs/>
                <w:spacing w:val="-2"/>
                <w:kern w:val="0"/>
                <w:sz w:val="22"/>
                <w:szCs w:val="22"/>
                <w:lang w:val="pt-PT" w:eastAsia="en-US" w:bidi="ar-SA"/>
              </w:rPr>
              <w:t>Amaranthus</w:t>
            </w:r>
            <w:r>
              <w:rPr>
                <w:rStyle w:val="Fontepargpadro1"/>
                <w:rFonts w:eastAsia="Calibri" w:cs="Calibri"/>
                <w:spacing w:val="-2"/>
                <w:kern w:val="0"/>
                <w:sz w:val="22"/>
                <w:szCs w:val="22"/>
                <w:lang w:val="pt-PT" w:eastAsia="en-US" w:bidi="ar-SA"/>
              </w:rPr>
              <w:t xml:space="preserve"> presentes em qualquer talhão de cultivo de qualquer espécie vegetal, de propriedade com ocorrência da praga</w:t>
            </w:r>
            <w:r>
              <w:rPr>
                <w:rStyle w:val="StrongEmphasis"/>
                <w:rFonts w:eastAsia="Calibri" w:cs="Calibri"/>
                <w:i/>
                <w:iCs/>
                <w:spacing w:val="-2"/>
                <w:kern w:val="0"/>
                <w:sz w:val="22"/>
                <w:szCs w:val="22"/>
                <w:lang w:val="pt-PT" w:eastAsia="en-US" w:bidi="ar-SA"/>
              </w:rPr>
              <w:t>,</w:t>
            </w:r>
            <w:r>
              <w:rPr>
                <w:rStyle w:val="StrongEmphasis"/>
                <w:rFonts w:eastAsia="Calibri" w:cs="Calibri"/>
                <w:b w:val="false"/>
                <w:i/>
                <w:iCs/>
                <w:spacing w:val="-2"/>
                <w:kern w:val="0"/>
                <w:sz w:val="22"/>
                <w:szCs w:val="22"/>
                <w:lang w:val="pt-PT" w:eastAsia="en-US" w:bidi="ar-SA"/>
              </w:rPr>
              <w:t xml:space="preserve"> </w:t>
            </w:r>
            <w:r>
              <w:rPr>
                <w:rStyle w:val="StrongEmphasis"/>
                <w:rFonts w:eastAsia="Calibri" w:cs="Calibri"/>
                <w:b w:val="false"/>
                <w:spacing w:val="-2"/>
                <w:kern w:val="0"/>
                <w:sz w:val="22"/>
                <w:szCs w:val="22"/>
                <w:lang w:val="pt-PT" w:eastAsia="en-US" w:bidi="ar-SA"/>
              </w:rPr>
              <w:t>deverão ser eliminadas antes do florescimento;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II -</w:t>
            </w:r>
            <w:r>
              <w:rPr>
                <w:rStyle w:val="Fontepargpadro1"/>
                <w:rFonts w:eastAsia="Calibri" w:cs="Calibri"/>
                <w:b/>
                <w:spacing w:val="-2"/>
                <w:kern w:val="0"/>
                <w:sz w:val="22"/>
                <w:szCs w:val="22"/>
                <w:lang w:val="pt-PT" w:eastAsia="en-US" w:bidi="ar-SA"/>
              </w:rPr>
              <w:t xml:space="preserve"> c</w:t>
            </w:r>
            <w:r>
              <w:rPr>
                <w:rStyle w:val="StrongEmphasis"/>
                <w:rFonts w:eastAsia="Calibri" w:cs="Calibri"/>
                <w:b w:val="false"/>
                <w:color w:val="162937"/>
                <w:spacing w:val="-2"/>
                <w:kern w:val="0"/>
                <w:sz w:val="22"/>
                <w:szCs w:val="22"/>
                <w:lang w:val="pt-PT" w:eastAsia="en-US" w:bidi="ar-SA"/>
              </w:rPr>
              <w:t>aso sejam identificadas plantas em florescimento, dever</w:t>
            </w:r>
            <w:r>
              <w:rPr>
                <w:rFonts w:eastAsia="Calibri" w:cs=""/>
                <w:color w:val="162937"/>
                <w:kern w:val="0"/>
                <w:sz w:val="22"/>
                <w:szCs w:val="22"/>
                <w:lang w:val="pt-BR" w:eastAsia="en-US" w:bidi="ar-SA"/>
              </w:rPr>
              <w:t>ão ser arrancadas e postas dentro de sacos para evitar a dispersão das sementes e incineradas;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w:t>
            </w:r>
            <w:r>
              <w:rPr>
                <w:rStyle w:val="Fontepargpadro1"/>
                <w:rFonts w:eastAsia="Calibri" w:cs="Calibri"/>
                <w:b/>
                <w:bCs/>
                <w:color w:val="162937"/>
                <w:spacing w:val="-2"/>
                <w:kern w:val="0"/>
                <w:sz w:val="22"/>
                <w:szCs w:val="22"/>
                <w:lang w:val="pt-PT" w:eastAsia="en-US" w:bidi="ar-SA"/>
              </w:rPr>
              <w:t>II -</w:t>
            </w:r>
            <w:r>
              <w:rPr>
                <w:rStyle w:val="Fontepargpadro1"/>
                <w:rFonts w:eastAsia="Calibri" w:cs="Calibri"/>
                <w:spacing w:val="-2"/>
                <w:kern w:val="0"/>
                <w:sz w:val="22"/>
                <w:szCs w:val="22"/>
                <w:lang w:val="pt-PT" w:eastAsia="en-US" w:bidi="ar-SA"/>
              </w:rPr>
              <w:t xml:space="preserve"> </w:t>
            </w:r>
            <w:r>
              <w:rPr>
                <w:rStyle w:val="Fontepargpadro1"/>
                <w:rFonts w:eastAsia="Calibri" w:cs="Calibri"/>
                <w:color w:val="162937"/>
                <w:spacing w:val="-2"/>
                <w:kern w:val="0"/>
                <w:sz w:val="22"/>
                <w:szCs w:val="22"/>
                <w:lang w:val="pt-PT" w:eastAsia="en-US" w:bidi="ar-SA"/>
              </w:rPr>
              <w:t>a</w:t>
            </w:r>
            <w:r>
              <w:rPr>
                <w:rFonts w:eastAsia="Calibri" w:cs=""/>
                <w:color w:val="162937"/>
                <w:kern w:val="0"/>
                <w:sz w:val="22"/>
                <w:szCs w:val="22"/>
                <w:lang w:val="pt-BR" w:eastAsia="en-US" w:bidi="ar-SA"/>
              </w:rPr>
              <w:t xml:space="preserve"> colheita de qualquer espécie vegetal, em talhão com presença da praga, só será permitida após concluída a eliminação de todas as plantas de </w:t>
            </w:r>
            <w:r>
              <w:rPr>
                <w:rFonts w:eastAsia="Calibri" w:cs=""/>
                <w:i/>
                <w:iCs/>
                <w:color w:val="162937"/>
                <w:kern w:val="0"/>
                <w:sz w:val="22"/>
                <w:szCs w:val="22"/>
                <w:lang w:val="pt-BR" w:eastAsia="en-US" w:bidi="ar-SA"/>
              </w:rPr>
              <w:t>Amaranthus</w:t>
            </w:r>
            <w:r>
              <w:rPr>
                <w:rFonts w:eastAsia="Calibri" w:cs=""/>
                <w:color w:val="162937"/>
                <w:kern w:val="0"/>
                <w:sz w:val="22"/>
                <w:szCs w:val="22"/>
                <w:lang w:val="pt-BR" w:eastAsia="en-US" w:bidi="ar-SA"/>
              </w:rPr>
              <w:t xml:space="preserve"> spp;</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IV -</w:t>
            </w:r>
            <w:r>
              <w:rPr>
                <w:rFonts w:eastAsia="Calibri" w:cs=""/>
                <w:color w:val="162937"/>
                <w:kern w:val="0"/>
                <w:sz w:val="22"/>
                <w:szCs w:val="22"/>
                <w:lang w:val="pt-BR" w:eastAsia="en-US" w:bidi="ar-SA"/>
              </w:rPr>
              <w:t xml:space="preserve"> a saída de amostra de solo, de talhão com ocorrência de </w:t>
            </w:r>
            <w:r>
              <w:rPr>
                <w:rStyle w:val="StrongEmphasis"/>
                <w:rFonts w:eastAsia="Calibri" w:cs="Calibri"/>
                <w:i/>
                <w:iCs/>
                <w:spacing w:val="-2"/>
                <w:kern w:val="0"/>
                <w:sz w:val="22"/>
                <w:szCs w:val="22"/>
                <w:lang w:val="pt-PT" w:eastAsia="en-US" w:bidi="ar-SA"/>
              </w:rPr>
              <w:t>Amaranthus palmeri</w:t>
            </w:r>
            <w:r>
              <w:rPr>
                <w:rFonts w:eastAsia="Calibri" w:cs=""/>
                <w:color w:val="162937"/>
                <w:kern w:val="0"/>
                <w:sz w:val="22"/>
                <w:szCs w:val="22"/>
                <w:lang w:val="pt-BR" w:eastAsia="en-US" w:bidi="ar-SA"/>
              </w:rPr>
              <w:t>, somente será permitida para análise laboratorial, e estará condicionada a autorização da Agrodefesa mediante fiscalização e emissão de Termo de Fiscalização, e a concordância prévia do laboratório;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
                <w:b/>
                <w:bCs/>
                <w:kern w:val="0"/>
                <w:sz w:val="22"/>
                <w:szCs w:val="22"/>
                <w:lang w:val="pt-PT" w:eastAsia="en-US" w:bidi="ar-SA"/>
              </w:rPr>
              <w:t xml:space="preserve">V - </w:t>
            </w:r>
            <w:r>
              <w:rPr>
                <w:rStyle w:val="Fontepargpadro1"/>
                <w:rFonts w:eastAsia="Calibri" w:cs=""/>
                <w:kern w:val="0"/>
                <w:sz w:val="22"/>
                <w:szCs w:val="22"/>
                <w:lang w:val="pt-PT" w:eastAsia="en-US" w:bidi="ar-SA"/>
              </w:rPr>
              <w:t>a Agrodefesa poderá restringir a implantação de campos de produção de sementes em áreas com ocorrência da praga, mediante avaliação técnica;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
                <w:b/>
                <w:bCs/>
                <w:kern w:val="0"/>
                <w:sz w:val="22"/>
                <w:szCs w:val="22"/>
                <w:lang w:val="pt-PT" w:eastAsia="en-US" w:bidi="ar-SA"/>
              </w:rPr>
              <w:t>VI -</w:t>
            </w:r>
            <w:r>
              <w:rPr>
                <w:rStyle w:val="Fontepargpadro1"/>
                <w:rFonts w:eastAsia="Calibri" w:cs=""/>
                <w:kern w:val="0"/>
                <w:sz w:val="22"/>
                <w:szCs w:val="22"/>
                <w:lang w:val="pt-PT" w:eastAsia="en-US" w:bidi="ar-SA"/>
              </w:rPr>
              <w:t xml:space="preserve"> </w:t>
            </w:r>
            <w:r>
              <w:rPr>
                <w:rFonts w:eastAsia="Calibri" w:cs=""/>
                <w:kern w:val="0"/>
                <w:sz w:val="22"/>
                <w:szCs w:val="22"/>
                <w:lang w:val="pt-BR" w:eastAsia="en-US" w:bidi="ar-SA"/>
              </w:rPr>
              <w:t>as propriedades com ocorrência da praga poderão possuir talhões declarados para produção de sementes para uso próprio, condicionados à análise fitossanitária da Agrodefesa;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 xml:space="preserve">VII - </w:t>
            </w:r>
            <w:r>
              <w:rPr>
                <w:rStyle w:val="Fontepargpadro1"/>
                <w:rFonts w:eastAsia="Calibri" w:cs="Calibri"/>
                <w:color w:val="162937"/>
                <w:spacing w:val="-2"/>
                <w:kern w:val="0"/>
                <w:sz w:val="22"/>
                <w:szCs w:val="22"/>
                <w:lang w:val="pt-PT" w:eastAsia="en-US" w:bidi="ar-SA"/>
              </w:rPr>
              <w:t>fi</w:t>
            </w:r>
            <w:r>
              <w:rPr>
                <w:rFonts w:eastAsia="Calibri" w:cs=""/>
                <w:color w:val="162937"/>
                <w:kern w:val="0"/>
                <w:sz w:val="22"/>
                <w:szCs w:val="22"/>
                <w:lang w:val="pt-BR" w:eastAsia="en-US" w:bidi="ar-SA"/>
              </w:rPr>
              <w:t>ca proibida a saída de restos culturais e de resíduos de limpeza de vegetais e de produtos vegetais, de propriedade com ocorrência desta praga;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spacing w:val="-2"/>
                <w:kern w:val="0"/>
                <w:sz w:val="22"/>
                <w:szCs w:val="22"/>
                <w:lang w:val="pt-PT" w:eastAsia="en-US" w:bidi="ar-SA"/>
              </w:rPr>
              <w:t xml:space="preserve">VIII - </w:t>
            </w:r>
            <w:r>
              <w:rPr>
                <w:rStyle w:val="Fontepargpadro1"/>
                <w:rFonts w:eastAsia="Calibri" w:cs="Calibri"/>
                <w:spacing w:val="-2"/>
                <w:kern w:val="0"/>
                <w:sz w:val="22"/>
                <w:szCs w:val="22"/>
                <w:lang w:val="pt-PT" w:eastAsia="en-US" w:bidi="ar-SA"/>
              </w:rPr>
              <w:t>fi</w:t>
            </w:r>
            <w:r>
              <w:rPr>
                <w:rFonts w:eastAsia="Calibri" w:cs=""/>
                <w:color w:val="162937"/>
                <w:kern w:val="0"/>
                <w:sz w:val="22"/>
                <w:szCs w:val="22"/>
                <w:lang w:val="pt-BR" w:eastAsia="en-US" w:bidi="ar-SA"/>
              </w:rPr>
              <w:t xml:space="preserve">ca permitida a utilização de resíduos de limpeza de vegetais e de produtos vegetais, nas propriedades com ocorrência da praga, somente como fertilizante orgânico, que tenha passado por processo completo de compostagem, objetivando a inativação das sementes de </w:t>
            </w:r>
            <w:r>
              <w:rPr>
                <w:rFonts w:eastAsia="Calibri" w:cs=""/>
                <w:i/>
                <w:iCs/>
                <w:color w:val="162937"/>
                <w:kern w:val="0"/>
                <w:sz w:val="22"/>
                <w:szCs w:val="22"/>
                <w:lang w:val="pt-BR" w:eastAsia="en-US" w:bidi="ar-SA"/>
              </w:rPr>
              <w:t>Amaranthus palmeri</w:t>
            </w:r>
            <w:r>
              <w:rPr>
                <w:rFonts w:eastAsia="Calibri" w:cs=""/>
                <w:color w:val="162937"/>
                <w:kern w:val="0"/>
                <w:sz w:val="22"/>
                <w:szCs w:val="22"/>
                <w:lang w:val="pt-BR" w:eastAsia="en-US" w:bidi="ar-SA"/>
              </w:rPr>
              <w:t>, e em talhões com ocorrência da praga.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162937"/>
                <w:kern w:val="0"/>
                <w:sz w:val="22"/>
                <w:szCs w:val="22"/>
                <w:lang w:val="pt-BR" w:eastAsia="en-US" w:bidi="ar-SA"/>
              </w:rPr>
              <w:t xml:space="preserve">IX - </w:t>
            </w:r>
            <w:r>
              <w:rPr>
                <w:rFonts w:eastAsia="Calibri" w:cs=""/>
                <w:color w:val="162937"/>
                <w:kern w:val="0"/>
                <w:sz w:val="22"/>
                <w:szCs w:val="22"/>
                <w:lang w:val="pt-BR" w:eastAsia="en-US" w:bidi="ar-SA"/>
              </w:rPr>
              <w:t>os resíduos provenientes da limpeza e desinfestação de máquinas, equipamentos e implementos agrícolas deverão receber destinação ambientalmente adequada, de modo a impedir a disseminação de sementes ou estruturas propagativas.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xml:space="preserve">X - </w:t>
            </w:r>
            <w:r>
              <w:rPr>
                <w:rFonts w:eastAsia="Calibri" w:cs=""/>
                <w:kern w:val="0"/>
                <w:sz w:val="22"/>
                <w:szCs w:val="22"/>
                <w:lang w:val="pt-BR" w:eastAsia="en-US" w:bidi="ar-SA"/>
              </w:rPr>
              <w:t xml:space="preserve">o trânsito intraestadual e o ingresso no território goiano de máquinas, equipamentos e implementos agrícolas provenientes de propriedades, unidades de produção, municípios ou regiões com ocorrência oficialmente confirmada de </w:t>
            </w:r>
            <w:r>
              <w:rPr>
                <w:rFonts w:eastAsia="Calibri" w:cs=""/>
                <w:i/>
                <w:iCs/>
                <w:kern w:val="0"/>
                <w:sz w:val="22"/>
                <w:szCs w:val="22"/>
                <w:lang w:val="pt-BR" w:eastAsia="en-US" w:bidi="ar-SA"/>
              </w:rPr>
              <w:t>Amaranthus palmeri</w:t>
            </w:r>
            <w:r>
              <w:rPr>
                <w:rFonts w:eastAsia="Calibri" w:cs=""/>
                <w:kern w:val="0"/>
                <w:sz w:val="22"/>
                <w:szCs w:val="22"/>
                <w:lang w:val="pt-BR" w:eastAsia="en-US" w:bidi="ar-SA"/>
              </w:rPr>
              <w:t xml:space="preserve"> ficam condicionados ao cumprimento das medidas fitossanitárias estabelecidas pela Agrodefesa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a)</w:t>
            </w:r>
            <w:r>
              <w:rPr>
                <w:rFonts w:eastAsia="Calibri" w:cs=""/>
                <w:kern w:val="0"/>
                <w:sz w:val="22"/>
                <w:szCs w:val="22"/>
                <w:lang w:val="pt-BR" w:eastAsia="en-US" w:bidi="ar-SA"/>
              </w:rPr>
              <w:t xml:space="preserve"> a restrição de trânsito permanecerá vigente enquanto perdurarem as medidas fitossanitárias estabelecidas pelos órgãos oficiais de defesa agropecuária;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b)</w:t>
            </w:r>
            <w:r>
              <w:rPr>
                <w:rFonts w:eastAsia="Calibri" w:cs=""/>
                <w:kern w:val="0"/>
                <w:sz w:val="22"/>
                <w:szCs w:val="22"/>
                <w:lang w:val="pt-BR" w:eastAsia="en-US" w:bidi="ar-SA"/>
              </w:rPr>
              <w:t xml:space="preserve"> excepcionalmente, a Agrodefesa poderá autorizar o trânsito das máquinas, equipamentos e implementos agrícolas de que trata o inciso X, desde que submetidos previamente a procedimentos específicos de limpeza, desinfestação, inspeção fitossanitária e demais medidas de mitigação de risco;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162937"/>
                <w:kern w:val="0"/>
                <w:sz w:val="22"/>
                <w:szCs w:val="22"/>
                <w:lang w:val="pt-BR" w:eastAsia="en-US" w:bidi="ar-SA"/>
              </w:rPr>
              <w:t xml:space="preserve">c) </w:t>
            </w:r>
            <w:r>
              <w:rPr>
                <w:rFonts w:eastAsia="Calibri" w:cs=""/>
                <w:color w:val="162937"/>
                <w:kern w:val="0"/>
                <w:sz w:val="22"/>
                <w:szCs w:val="22"/>
                <w:lang w:val="pt-BR" w:eastAsia="en-US" w:bidi="ar-SA"/>
              </w:rPr>
              <w:t>a autorização prevista na alínea “b” será condicionada à apresentação de documentação comprobatória da higienização, laudo técnico, inspeção oficial, cumprimento de quarentena ou outras exigências fitossanitárias estabelecidas pela Agrodefesa.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10200" w:type="dxa"/>
            <w:gridSpan w:val="2"/>
            <w:tcBorders/>
          </w:tcPr>
          <w:p>
            <w:pPr>
              <w:pStyle w:val="Standard"/>
              <w:widowControl/>
              <w:spacing w:lineRule="auto" w:line="276" w:before="0" w:after="0"/>
              <w:ind w:firstLine="57" w:left="57" w:right="57"/>
              <w:jc w:val="center"/>
              <w:rPr>
                <w:sz w:val="20"/>
                <w:szCs w:val="20"/>
              </w:rPr>
            </w:pPr>
            <w:r>
              <w:rPr>
                <w:rStyle w:val="Fontepargpadro1"/>
                <w:rFonts w:cs="Calibri" w:ascii="Calibri" w:hAnsi="Calibri"/>
                <w:b/>
                <w:bCs/>
                <w:sz w:val="20"/>
                <w:szCs w:val="20"/>
                <w:lang w:val="pt-BR"/>
              </w:rPr>
              <w:t>CAPÍTULO III</w:t>
            </w:r>
          </w:p>
          <w:p>
            <w:pPr>
              <w:pStyle w:val="Normal"/>
              <w:widowControl/>
              <w:spacing w:lineRule="auto" w:line="240" w:before="0" w:after="0"/>
              <w:jc w:val="left"/>
              <w:rPr>
                <w:rFonts w:ascii="Calibri" w:hAnsi="Calibri" w:eastAsia="Calibri" w:cs=""/>
                <w:kern w:val="0"/>
                <w:sz w:val="22"/>
                <w:szCs w:val="22"/>
                <w:lang w:val="pt-BR" w:eastAsia="en-US" w:bidi="ar-SA"/>
              </w:rPr>
            </w:pPr>
            <w:r>
              <w:rPr>
                <w:rStyle w:val="Fontepargpadro1"/>
                <w:rFonts w:eastAsia="Calibri" w:cs="Calibri"/>
                <w:b/>
                <w:bCs/>
                <w:kern w:val="0"/>
                <w:sz w:val="20"/>
                <w:szCs w:val="20"/>
                <w:lang w:val="pt-BR" w:eastAsia="en-US" w:bidi="ar-SA"/>
              </w:rPr>
              <w:t>DA LIMPEZA E TRÂNSITO DE MÁQUINAS, EQUIPAMENTOS E IMPLEMENTOS AGRÍCOLAS</w:t>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kern w:val="0"/>
                <w:sz w:val="22"/>
                <w:szCs w:val="22"/>
                <w:lang w:val="pt-BR" w:eastAsia="en-US" w:bidi="ar-SA"/>
              </w:rPr>
              <w:t xml:space="preserve">Art. 9º O trânsito intraestadual e interestadual de </w:t>
            </w:r>
            <w:r>
              <w:rPr>
                <w:rStyle w:val="Fontepargpadro1"/>
                <w:rFonts w:eastAsia="Calibri" w:cs="Calibri"/>
                <w:spacing w:val="-2"/>
                <w:kern w:val="0"/>
                <w:sz w:val="22"/>
                <w:szCs w:val="22"/>
                <w:lang w:val="pt-PT" w:eastAsia="en-US" w:bidi="ar-SA"/>
              </w:rPr>
              <w:t>máquinas, equipamentos e implementos agrícolas usados,</w:t>
            </w:r>
            <w:r>
              <w:rPr>
                <w:rFonts w:eastAsia="Calibri" w:cs=""/>
                <w:kern w:val="0"/>
                <w:sz w:val="22"/>
                <w:szCs w:val="22"/>
                <w:lang w:val="pt-BR" w:eastAsia="en-US" w:bidi="ar-SA"/>
              </w:rPr>
              <w:t xml:space="preserve"> destinados ao uso no território goiano ou em passagem pelo Estado de Goiás com destino a outras unidades da Federação, fica condicionado à comprovação de limpeza técnica e limpeza fitossanitária, por meio da apresentação da Autorização para o Trânsito de Máquinas, Equipamentos e Implementos Agrícolas (ATMaq).</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1º</w:t>
            </w:r>
            <w:r>
              <w:rPr>
                <w:rFonts w:eastAsia="Calibri" w:cs=""/>
                <w:kern w:val="0"/>
                <w:sz w:val="22"/>
                <w:szCs w:val="22"/>
                <w:lang w:val="pt-BR" w:eastAsia="en-US" w:bidi="ar-SA"/>
              </w:rPr>
              <w:t xml:space="preserve"> </w:t>
            </w:r>
            <w:r>
              <w:rPr>
                <w:rFonts w:eastAsia="Calibri" w:cs=""/>
                <w:color w:val="000000"/>
                <w:kern w:val="0"/>
                <w:sz w:val="22"/>
                <w:szCs w:val="22"/>
                <w:lang w:val="pt-BR" w:eastAsia="en-US" w:bidi="ar-SA"/>
              </w:rPr>
              <w:t>A limpeza técnica e limpeza fitossanitária deverão observar as medidas estabelecidas no processo de limpeza inicial e finalização da lavagem, visando a garantia da eliminação de partículas de solo e outros resíduos que possam conter cistos, sementes, estruturas propagativas e outros materiais contaminantes de plantas e outras fontes de inóculos capazes de viabilizar a introdução, disseminação e o estabelecimento de pragas no território goiano.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000000"/>
                <w:kern w:val="0"/>
                <w:sz w:val="22"/>
                <w:szCs w:val="22"/>
                <w:lang w:val="pt-BR" w:eastAsia="en-US" w:bidi="ar-SA"/>
              </w:rPr>
              <w:t>I -</w:t>
            </w:r>
            <w:r>
              <w:rPr>
                <w:rFonts w:eastAsia="Calibri" w:cs=""/>
                <w:color w:val="000000"/>
                <w:kern w:val="0"/>
                <w:sz w:val="22"/>
                <w:szCs w:val="22"/>
                <w:lang w:val="pt-BR" w:eastAsia="en-US" w:bidi="ar-SA"/>
              </w:rPr>
              <w:t xml:space="preserve"> o procedimento de limpeza inicial da máquina e implemento deve ser realizado com lavagem sob pressão de todo o item a ser transportado utilizando desengraxante e detergente desincrustante ácido, nas concentrações recomendadas pelo fabricante;</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333333"/>
                <w:kern w:val="0"/>
                <w:sz w:val="22"/>
                <w:szCs w:val="22"/>
                <w:lang w:val="pt-BR" w:eastAsia="en-US" w:bidi="ar-SA"/>
              </w:rPr>
              <w:t>II -</w:t>
            </w:r>
            <w:r>
              <w:rPr>
                <w:rFonts w:eastAsia="Calibri" w:cs=""/>
                <w:color w:val="333333"/>
                <w:kern w:val="0"/>
                <w:sz w:val="22"/>
                <w:szCs w:val="22"/>
                <w:lang w:val="pt-BR" w:eastAsia="en-US" w:bidi="ar-SA"/>
              </w:rPr>
              <w:t xml:space="preserve"> </w:t>
            </w:r>
            <w:r>
              <w:rPr>
                <w:rFonts w:eastAsia="Calibri" w:cs=""/>
                <w:color w:val="000000"/>
                <w:kern w:val="0"/>
                <w:sz w:val="22"/>
                <w:szCs w:val="22"/>
                <w:lang w:val="pt-BR" w:eastAsia="en-US" w:bidi="ar-SA"/>
              </w:rPr>
              <w:t>no procedimento para finalização da lavagem, após retirada de resíduos vegetais e partículas sólidas, deve-se realizar nova limpeza com lavagem sob pressão de toda a máquina, equipamento ou implemento, com utilização de solução de água clorada a 0,02% (200 ppm) ou com compostos de amônio quaternário (CAQs), nas concentrações recomendadas pelo fabricante.</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2º</w:t>
            </w:r>
            <w:r>
              <w:rPr>
                <w:rFonts w:eastAsia="Calibri" w:cs=""/>
                <w:kern w:val="0"/>
                <w:sz w:val="22"/>
                <w:szCs w:val="22"/>
                <w:lang w:val="pt-BR" w:eastAsia="en-US" w:bidi="ar-SA"/>
              </w:rPr>
              <w:t xml:space="preserve"> Os procedimentos de higienização deverão contemplar as partes internas e externas das máquinas, equipamentos e implementos agrícolas, inclusive compartimentos, plataformas, eixos, caixas de retrilha, elevadores, sistemas hidráulicos, peneiras, correntes, rodados, chassis, ventiladores, dutos e demais pontos de acúmulo de resíduos.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StrongEmphasis"/>
                <w:rFonts w:eastAsia="Calibri" w:cs=""/>
                <w:color w:val="000000"/>
                <w:kern w:val="0"/>
                <w:sz w:val="22"/>
                <w:szCs w:val="22"/>
                <w:lang w:val="pt-BR" w:eastAsia="en-US" w:bidi="ar-SA"/>
              </w:rPr>
              <w:t>Art. 10.</w:t>
            </w:r>
            <w:r>
              <w:rPr>
                <w:rFonts w:eastAsia="Calibri" w:cs=""/>
                <w:color w:val="000000"/>
                <w:kern w:val="0"/>
                <w:sz w:val="22"/>
                <w:szCs w:val="22"/>
                <w:lang w:val="pt-BR" w:eastAsia="en-US" w:bidi="ar-SA"/>
              </w:rPr>
              <w:t xml:space="preserve"> A Autorização para o Trânsito de Máquinas, Equipamentos e Implementos Agrícolas (ATMaq) será requerida mediante Autodeclaração de realização da limpeza técnica e da limpeza fitossanitária ou de Atestado de Higienização emitido por responsável técnico.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000000"/>
                <w:kern w:val="0"/>
                <w:sz w:val="22"/>
                <w:szCs w:val="22"/>
                <w:lang w:val="pt-BR" w:eastAsia="en-US" w:bidi="ar-SA"/>
              </w:rPr>
              <w:t>§1º</w:t>
            </w:r>
            <w:r>
              <w:rPr>
                <w:rFonts w:eastAsia="Calibri" w:cs=""/>
                <w:color w:val="000000"/>
                <w:kern w:val="0"/>
                <w:sz w:val="22"/>
                <w:szCs w:val="22"/>
                <w:lang w:val="pt-BR" w:eastAsia="en-US" w:bidi="ar-SA"/>
              </w:rPr>
              <w:t xml:space="preserve"> A solicitação da ATMaq será realizada utilizando-se o Sistema de Defesa Agropecuária de Goiás (SIDAGO), pelo interessado da origem, mediante a declaração das seguintes informações: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 –</w:t>
            </w:r>
            <w:r>
              <w:rPr>
                <w:rFonts w:eastAsia="Calibri" w:cs=""/>
                <w:kern w:val="0"/>
                <w:sz w:val="22"/>
                <w:szCs w:val="22"/>
                <w:lang w:val="pt-BR" w:eastAsia="en-US" w:bidi="ar-SA"/>
              </w:rPr>
              <w:t xml:space="preserve"> identificação do proprietário, transportador ou responsável pelo trânsito, contendo nome ou razão social, CPF ou CNPJ e endereço;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xml:space="preserve">II – </w:t>
            </w:r>
            <w:r>
              <w:rPr>
                <w:rFonts w:eastAsia="Calibri" w:cs=""/>
                <w:kern w:val="0"/>
                <w:sz w:val="22"/>
                <w:szCs w:val="22"/>
                <w:lang w:val="pt-BR" w:eastAsia="en-US" w:bidi="ar-SA"/>
              </w:rPr>
              <w:t>identificação da propriedade, estabelecimento ou local de origem da máquina e implemento agrícola;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III –</w:t>
            </w:r>
            <w:r>
              <w:rPr>
                <w:rFonts w:eastAsia="Calibri" w:cs=""/>
                <w:kern w:val="0"/>
                <w:sz w:val="22"/>
                <w:szCs w:val="22"/>
                <w:lang w:val="pt-BR" w:eastAsia="en-US" w:bidi="ar-SA"/>
              </w:rPr>
              <w:t xml:space="preserve"> identificação da propriedade, estabelecimento ou local de destino;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xml:space="preserve">IV – </w:t>
            </w:r>
            <w:r>
              <w:rPr>
                <w:rFonts w:eastAsia="Calibri" w:cs=""/>
                <w:kern w:val="0"/>
                <w:sz w:val="22"/>
                <w:szCs w:val="22"/>
                <w:lang w:val="pt-BR" w:eastAsia="en-US" w:bidi="ar-SA"/>
              </w:rPr>
              <w:t>município e unidade da Federação de origem e destino;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rPr>
            </w:pPr>
            <w:r>
              <w:rPr>
                <w:rFonts w:eastAsia="Calibri" w:cs=""/>
                <w:b/>
                <w:bCs/>
                <w:kern w:val="0"/>
                <w:sz w:val="22"/>
                <w:szCs w:val="22"/>
                <w:lang w:val="pt-BR" w:eastAsia="en-US" w:bidi="ar-SA"/>
              </w:rPr>
              <w:t xml:space="preserve">V – </w:t>
            </w:r>
            <w:r>
              <w:rPr>
                <w:rFonts w:eastAsia="Calibri" w:cs=""/>
                <w:kern w:val="0"/>
                <w:sz w:val="22"/>
                <w:szCs w:val="22"/>
                <w:lang w:val="pt-BR" w:eastAsia="en-US" w:bidi="ar-SA"/>
              </w:rPr>
              <w:t>identificação da máquina e implemento agrícola, contendo, quando couber:</w:t>
            </w:r>
          </w:p>
          <w:p>
            <w:pPr>
              <w:pStyle w:val="Textbody"/>
              <w:widowControl/>
              <w:spacing w:lineRule="auto" w:line="240" w:before="57" w:after="57"/>
              <w:ind w:firstLine="57" w:left="57" w:right="57"/>
              <w:jc w:val="both"/>
              <w:rPr>
                <w:rFonts w:ascii="Calibri" w:hAnsi="Calibri"/>
                <w:sz w:val="22"/>
                <w:szCs w:val="22"/>
              </w:rPr>
            </w:pPr>
            <w:r>
              <w:rPr>
                <w:rFonts w:ascii="Calibri" w:hAnsi="Calibri"/>
                <w:b/>
                <w:bCs/>
                <w:sz w:val="22"/>
                <w:szCs w:val="22"/>
                <w:lang w:val="pt-BR"/>
              </w:rPr>
              <w:t>a)</w:t>
            </w:r>
            <w:r>
              <w:rPr>
                <w:rFonts w:ascii="Calibri" w:hAnsi="Calibri"/>
                <w:sz w:val="22"/>
                <w:szCs w:val="22"/>
                <w:lang w:val="pt-BR"/>
              </w:rPr>
              <w:t xml:space="preserve"> marca, modelo, número de série, chassi ou identificação equivalente;</w:t>
            </w:r>
          </w:p>
          <w:p>
            <w:pPr>
              <w:pStyle w:val="Textbody"/>
              <w:widowControl/>
              <w:spacing w:lineRule="auto" w:line="240" w:before="57" w:after="57"/>
              <w:ind w:firstLine="57" w:left="57" w:right="57"/>
              <w:jc w:val="both"/>
              <w:rPr>
                <w:sz w:val="22"/>
                <w:szCs w:val="22"/>
              </w:rPr>
            </w:pPr>
            <w:r>
              <w:rPr>
                <w:rFonts w:ascii="Calibri" w:hAnsi="Calibri"/>
                <w:b/>
                <w:bCs/>
                <w:sz w:val="22"/>
                <w:szCs w:val="22"/>
                <w:lang w:val="pt-BR"/>
              </w:rPr>
              <w:t>b)</w:t>
            </w:r>
            <w:r>
              <w:rPr>
                <w:rFonts w:ascii="Calibri" w:hAnsi="Calibri"/>
                <w:sz w:val="22"/>
                <w:szCs w:val="22"/>
                <w:lang w:val="pt-BR"/>
              </w:rPr>
              <w:t xml:space="preserve"> placa do veículo transportador, quando aplicável;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xml:space="preserve">VI – </w:t>
            </w:r>
            <w:r>
              <w:rPr>
                <w:rFonts w:eastAsia="Calibri" w:cs=""/>
                <w:kern w:val="0"/>
                <w:sz w:val="22"/>
                <w:szCs w:val="22"/>
                <w:lang w:val="pt-BR" w:eastAsia="en-US" w:bidi="ar-SA"/>
              </w:rPr>
              <w:t>informação sobre a forma de transporte, incluindo deslocamento próprio ou transporte embarcado;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VII –</w:t>
            </w:r>
            <w:r>
              <w:rPr>
                <w:rFonts w:eastAsia="Calibri" w:cs=""/>
                <w:kern w:val="0"/>
                <w:sz w:val="22"/>
                <w:szCs w:val="22"/>
                <w:lang w:val="pt-BR" w:eastAsia="en-US" w:bidi="ar-SA"/>
              </w:rPr>
              <w:t xml:space="preserve"> data prevista para o trânsito e itinerário;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VIII –</w:t>
            </w:r>
            <w:r>
              <w:rPr>
                <w:rFonts w:eastAsia="Calibri" w:cs=""/>
                <w:kern w:val="0"/>
                <w:sz w:val="22"/>
                <w:szCs w:val="22"/>
                <w:lang w:val="pt-BR" w:eastAsia="en-US" w:bidi="ar-SA"/>
              </w:rPr>
              <w:t xml:space="preserve"> descrição complementar dos procedimentos de limpeza técnica e limpeza fitossanitária realizadas, incluindo os produtos utilizados;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xml:space="preserve">IX – </w:t>
            </w:r>
            <w:r>
              <w:rPr>
                <w:rFonts w:eastAsia="Calibri" w:cs=""/>
                <w:kern w:val="0"/>
                <w:sz w:val="22"/>
                <w:szCs w:val="22"/>
                <w:lang w:val="pt-BR" w:eastAsia="en-US" w:bidi="ar-SA"/>
              </w:rPr>
              <w:t>identificação do responsável pela execução da higienização, quando realizada por terceiro ou responsável técnico habilitado;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xml:space="preserve">X – </w:t>
            </w:r>
            <w:r>
              <w:rPr>
                <w:rFonts w:eastAsia="Calibri" w:cs=""/>
                <w:kern w:val="0"/>
                <w:sz w:val="22"/>
                <w:szCs w:val="22"/>
                <w:lang w:val="pt-BR" w:eastAsia="en-US" w:bidi="ar-SA"/>
              </w:rPr>
              <w:t>outras informações e documentos exigidos pela Agrodefesa para fins de controle e fiscalização fitossanitária.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§2º</w:t>
            </w:r>
            <w:r>
              <w:rPr>
                <w:rFonts w:eastAsia="Calibri" w:cs=""/>
                <w:kern w:val="0"/>
                <w:sz w:val="22"/>
                <w:szCs w:val="22"/>
                <w:lang w:val="pt-BR" w:eastAsia="en-US" w:bidi="ar-SA"/>
              </w:rPr>
              <w:t xml:space="preserve"> A prestação de informação falsa, inexata ou enganosa na autodeclaração, o produtor interessado ficará sujeito às penalidades previstas na legislação sanitária vegetal.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§3º</w:t>
            </w:r>
            <w:r>
              <w:rPr>
                <w:rFonts w:eastAsia="Calibri" w:cs=""/>
                <w:kern w:val="0"/>
                <w:sz w:val="22"/>
                <w:szCs w:val="22"/>
                <w:lang w:val="pt-BR" w:eastAsia="en-US" w:bidi="ar-SA"/>
              </w:rPr>
              <w:t xml:space="preserve"> Para o trânsito de máquinas, equipamentos e implementos agrícolas novos será dispensada a ATMaq, sendo obrigatória a apresentação do documento fiscal.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10200" w:type="dxa"/>
            <w:gridSpan w:val="2"/>
            <w:tcBorders/>
          </w:tcPr>
          <w:p>
            <w:pPr>
              <w:pStyle w:val="Standard"/>
              <w:widowControl/>
              <w:spacing w:before="0" w:after="0"/>
              <w:ind w:firstLine="57" w:left="57" w:right="57"/>
              <w:jc w:val="center"/>
              <w:rPr>
                <w:sz w:val="20"/>
                <w:szCs w:val="20"/>
              </w:rPr>
            </w:pPr>
            <w:r>
              <w:rPr>
                <w:rStyle w:val="Fontepargpadro1"/>
                <w:rFonts w:cs="Calibri" w:ascii="Calibri" w:hAnsi="Calibri"/>
                <w:b/>
                <w:bCs/>
                <w:sz w:val="20"/>
                <w:szCs w:val="20"/>
                <w:lang w:val="pt-BR"/>
              </w:rPr>
              <w:t>CAPÍTULO IV</w:t>
            </w:r>
          </w:p>
          <w:p>
            <w:pPr>
              <w:pStyle w:val="Standard"/>
              <w:widowControl/>
              <w:spacing w:before="0" w:after="0"/>
              <w:ind w:firstLine="57" w:left="57" w:right="57"/>
              <w:jc w:val="center"/>
              <w:rPr>
                <w:sz w:val="20"/>
                <w:szCs w:val="20"/>
              </w:rPr>
            </w:pPr>
            <w:r>
              <w:rPr>
                <w:rStyle w:val="Fontepargpadro1"/>
                <w:rFonts w:cs="Calibri" w:ascii="Calibri" w:hAnsi="Calibri"/>
                <w:b/>
                <w:bCs/>
                <w:sz w:val="20"/>
                <w:szCs w:val="20"/>
                <w:lang w:val="pt-BR"/>
              </w:rPr>
              <w:t>DA FISCALIZAÇÃO</w:t>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kern w:val="0"/>
                <w:sz w:val="22"/>
                <w:szCs w:val="22"/>
                <w:lang w:val="pt-BR" w:eastAsia="en-US" w:bidi="ar-SA"/>
              </w:rPr>
              <w:t>Art. 11 A fiscalização fitossanitária poderá ser realizada em postos fixos de fiscalização agropecuária, barreiras móveis, propriedades rurais, estabelecimentos comerciais, oficinas, transportadoras, rodovias, eventos agropecuários e demais locais sujeitos ao controle da Agrodefesa.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StrongEmphasis"/>
                <w:rFonts w:eastAsia="Calibri" w:cs=""/>
                <w:kern w:val="0"/>
                <w:sz w:val="22"/>
                <w:szCs w:val="22"/>
                <w:lang w:val="pt-BR" w:eastAsia="en-US" w:bidi="ar-SA"/>
              </w:rPr>
              <w:t>Art. 12.</w:t>
            </w:r>
            <w:r>
              <w:rPr>
                <w:rFonts w:eastAsia="Calibri" w:cs=""/>
                <w:kern w:val="0"/>
                <w:sz w:val="22"/>
                <w:szCs w:val="22"/>
                <w:lang w:val="pt-BR" w:eastAsia="en-US" w:bidi="ar-SA"/>
              </w:rPr>
              <w:t xml:space="preserve"> No exercício das atividades de fiscalização fitossanitária, a Agrodefesa poderá:</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 –</w:t>
            </w:r>
            <w:r>
              <w:rPr>
                <w:rFonts w:eastAsia="Calibri" w:cs=""/>
                <w:kern w:val="0"/>
                <w:sz w:val="22"/>
                <w:szCs w:val="22"/>
                <w:lang w:val="pt-BR" w:eastAsia="en-US" w:bidi="ar-SA"/>
              </w:rPr>
              <w:t xml:space="preserve"> realizar inspeção visual e documental das máquinas, equipamentos e implementos agrícolas, bem como da documentação obrigatória referente ao trânsito, higienização e origem;</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II –</w:t>
            </w:r>
            <w:r>
              <w:rPr>
                <w:rFonts w:eastAsia="Calibri" w:cs=""/>
                <w:kern w:val="0"/>
                <w:sz w:val="22"/>
                <w:szCs w:val="22"/>
                <w:lang w:val="pt-BR" w:eastAsia="en-US" w:bidi="ar-SA"/>
              </w:rPr>
              <w:t xml:space="preserve"> determinar a abertura de compartimentos, estruturas, sistemas internos e externos das máquinas, equipamentos e implementos agrícolas, com a finalidade de verificar a presença de solo, sementes, restos culturais, material vegetal, poeira, água residual ou quaisquer outros materiais com potencial de disseminação de </w:t>
            </w:r>
            <w:r>
              <w:rPr>
                <w:rStyle w:val="Emphasis"/>
                <w:rFonts w:eastAsia="Calibri" w:cs=""/>
                <w:kern w:val="0"/>
                <w:sz w:val="22"/>
                <w:szCs w:val="22"/>
                <w:lang w:val="pt-BR" w:eastAsia="en-US" w:bidi="ar-SA"/>
              </w:rPr>
              <w:t xml:space="preserve">Amaranthus palmeri </w:t>
            </w:r>
            <w:r>
              <w:rPr>
                <w:rFonts w:eastAsia="Calibri" w:cs=""/>
                <w:kern w:val="0"/>
                <w:sz w:val="22"/>
                <w:szCs w:val="22"/>
                <w:lang w:val="pt-BR" w:eastAsia="en-US" w:bidi="ar-SA"/>
              </w:rPr>
              <w:t>nos locais estabelecidos no Art. 11;</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Calibri"/>
                <w:b/>
                <w:bCs/>
                <w:kern w:val="0"/>
                <w:sz w:val="22"/>
                <w:szCs w:val="22"/>
                <w:lang w:val="pt-BR" w:eastAsia="en-US" w:bidi="ar-SA"/>
              </w:rPr>
              <w:t xml:space="preserve">III – </w:t>
            </w:r>
            <w:r>
              <w:rPr>
                <w:rFonts w:eastAsia="Calibri" w:cs="Calibri"/>
                <w:bCs/>
                <w:kern w:val="0"/>
                <w:sz w:val="22"/>
                <w:szCs w:val="22"/>
                <w:lang w:val="pt-BR" w:eastAsia="en-US" w:bidi="ar-SA"/>
              </w:rPr>
              <w:t xml:space="preserve">realizar inspeção fitossanitária padronizada em pontos de acúmulo de resíduos, incluindo, no que couber: </w:t>
            </w:r>
            <w:r>
              <w:rPr>
                <w:rFonts w:eastAsia="Calibri" w:cs=""/>
                <w:kern w:val="0"/>
                <w:sz w:val="22"/>
                <w:szCs w:val="22"/>
                <w:lang w:val="pt-BR" w:eastAsia="en-US" w:bidi="ar-SA"/>
              </w:rPr>
              <w:t>plataformas, compartimentos internos, sistemas de trilha, retrilha e separação, elevadores, peneiras, ventiladores, correntes, eixos, chassis, rodados, sistemas hidráulicos, caixas de engrenagem, dutos, compartimentos de armazenamento e estruturas de difícil acesso e demais locais com potencial de retenção de resíduos vegetais e partículas de solo;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 xml:space="preserve">IV – </w:t>
            </w:r>
            <w:r>
              <w:rPr>
                <w:rFonts w:eastAsia="Calibri" w:cs=""/>
                <w:kern w:val="0"/>
                <w:sz w:val="22"/>
                <w:szCs w:val="22"/>
                <w:lang w:val="pt-BR" w:eastAsia="en-US" w:bidi="ar-SA"/>
              </w:rPr>
              <w:t>coletar amostras de plantas, sementes, solo, poeira, água residual e restos culturais para análise laboratorial;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V –</w:t>
            </w:r>
            <w:r>
              <w:rPr>
                <w:rFonts w:eastAsia="Calibri" w:cs=""/>
                <w:kern w:val="0"/>
                <w:sz w:val="22"/>
                <w:szCs w:val="22"/>
                <w:lang w:val="pt-BR" w:eastAsia="en-US" w:bidi="ar-SA"/>
              </w:rPr>
              <w:t xml:space="preserve"> exigir procedimentos complementares de limpeza técnica e desinfestação fitossanitária;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VI –</w:t>
            </w:r>
            <w:r>
              <w:rPr>
                <w:rFonts w:eastAsia="Calibri" w:cs=""/>
                <w:kern w:val="0"/>
                <w:sz w:val="22"/>
                <w:szCs w:val="22"/>
                <w:lang w:val="pt-BR" w:eastAsia="en-US" w:bidi="ar-SA"/>
              </w:rPr>
              <w:t xml:space="preserve"> adotar medidas cautelares necessárias à mitigação do risco fitossanitário.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Style w:val="StrongEmphasis"/>
                <w:rFonts w:eastAsia="Calibri" w:cs=""/>
                <w:kern w:val="0"/>
                <w:sz w:val="22"/>
                <w:szCs w:val="22"/>
                <w:lang w:val="pt-BR" w:eastAsia="en-US" w:bidi="ar-SA"/>
              </w:rPr>
              <w:t>Parágrafo único.</w:t>
            </w:r>
            <w:r>
              <w:rPr>
                <w:rFonts w:eastAsia="Calibri" w:cs=""/>
                <w:kern w:val="0"/>
                <w:sz w:val="22"/>
                <w:szCs w:val="22"/>
                <w:lang w:val="pt-BR" w:eastAsia="en-US" w:bidi="ar-SA"/>
              </w:rPr>
              <w:t xml:space="preserve"> Os procedimentos de inspeção previstos neste artigo deverão observar protocolos técnicos padronizados estabelecidos pela Agrodefesa, independentemente do tipo, modelo, cultura agrícola ou finalidade operacional da máquina, equipamento ou implemento agrícola.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kern w:val="0"/>
                <w:sz w:val="22"/>
                <w:szCs w:val="22"/>
                <w:lang w:val="pt-BR" w:eastAsia="en-US" w:bidi="ar-SA"/>
              </w:rPr>
              <w:t>Art. 13 Constatada irregularidade ou risco fitossanitário, a Agrodefesa poderá determinar:</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 –</w:t>
            </w:r>
            <w:r>
              <w:rPr>
                <w:rFonts w:eastAsia="Calibri" w:cs=""/>
                <w:kern w:val="0"/>
                <w:sz w:val="22"/>
                <w:szCs w:val="22"/>
                <w:lang w:val="pt-BR" w:eastAsia="en-US" w:bidi="ar-SA"/>
              </w:rPr>
              <w:t xml:space="preserve"> retenção cautelar de máquinas e implementos agrícolas;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II –</w:t>
            </w:r>
            <w:r>
              <w:rPr>
                <w:rFonts w:eastAsia="Calibri" w:cs=""/>
                <w:kern w:val="0"/>
                <w:sz w:val="22"/>
                <w:szCs w:val="22"/>
                <w:lang w:val="pt-BR" w:eastAsia="en-US" w:bidi="ar-SA"/>
              </w:rPr>
              <w:t xml:space="preserve"> limpeza ou desinfestação compulsória de máquinas e implementos agrícolas;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III –</w:t>
            </w:r>
            <w:r>
              <w:rPr>
                <w:rFonts w:eastAsia="Calibri" w:cs=""/>
                <w:kern w:val="0"/>
                <w:sz w:val="22"/>
                <w:szCs w:val="22"/>
                <w:lang w:val="pt-BR" w:eastAsia="en-US" w:bidi="ar-SA"/>
              </w:rPr>
              <w:t xml:space="preserve"> restrição, suspensão ou impedimento do trânsito de máquinas e implementos agrícolas;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IV –</w:t>
            </w:r>
            <w:r>
              <w:rPr>
                <w:rFonts w:eastAsia="Calibri" w:cs=""/>
                <w:kern w:val="0"/>
                <w:sz w:val="22"/>
                <w:szCs w:val="22"/>
                <w:lang w:val="pt-BR" w:eastAsia="en-US" w:bidi="ar-SA"/>
              </w:rPr>
              <w:t xml:space="preserve"> interdição total ou parcial de propriedades, estabelecimentos, áreas de produção ou locais de armazenamento;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V –</w:t>
            </w:r>
            <w:r>
              <w:rPr>
                <w:rFonts w:eastAsia="Calibri" w:cs=""/>
                <w:kern w:val="0"/>
                <w:sz w:val="22"/>
                <w:szCs w:val="22"/>
                <w:lang w:val="pt-BR" w:eastAsia="en-US" w:bidi="ar-SA"/>
              </w:rPr>
              <w:t xml:space="preserve"> determinação de rechaço à origem ou impedimento do ingresso, no estado de Goiás, de máquinas e implementos agrícolas;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VI –</w:t>
            </w:r>
            <w:r>
              <w:rPr>
                <w:rFonts w:eastAsia="Calibri" w:cs=""/>
                <w:kern w:val="0"/>
                <w:sz w:val="22"/>
                <w:szCs w:val="22"/>
                <w:lang w:val="pt-BR" w:eastAsia="en-US" w:bidi="ar-SA"/>
              </w:rPr>
              <w:t xml:space="preserve"> adotar outras medidas cautelares e fitossanitárias necessárias à mitigação do risco de introdução e disseminação de pragas no território estadual.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Parágrafo único.</w:t>
            </w:r>
            <w:r>
              <w:rPr>
                <w:rFonts w:eastAsia="Calibri" w:cs=""/>
                <w:kern w:val="0"/>
                <w:sz w:val="22"/>
                <w:szCs w:val="22"/>
                <w:lang w:val="pt-BR" w:eastAsia="en-US" w:bidi="ar-SA"/>
              </w:rPr>
              <w:t xml:space="preserve"> O rechaço poderá ser aplicado, especialmente, nos casos de ausência de documentação obrigatória, deficiência de higienização, presença de resíduos com potencial de disseminação de pragas, recusa de fiscalização ou descumprimento de medidas fitossanitárias estabelecidas pela Agrodefesa para o trânsito interestadual.</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10200" w:type="dxa"/>
            <w:gridSpan w:val="2"/>
            <w:tcBorders/>
          </w:tcPr>
          <w:p>
            <w:pPr>
              <w:pStyle w:val="Standard"/>
              <w:widowControl/>
              <w:spacing w:before="0" w:after="0"/>
              <w:ind w:firstLine="57" w:left="57" w:right="57"/>
              <w:jc w:val="center"/>
              <w:rPr>
                <w:sz w:val="20"/>
                <w:szCs w:val="20"/>
              </w:rPr>
            </w:pPr>
            <w:r>
              <w:rPr>
                <w:rStyle w:val="Fontepargpadro1"/>
                <w:rFonts w:cs="Calibri" w:ascii="Calibri" w:hAnsi="Calibri"/>
                <w:b/>
                <w:bCs/>
                <w:sz w:val="20"/>
                <w:szCs w:val="20"/>
                <w:lang w:val="pt-BR"/>
              </w:rPr>
              <w:t>CAPÍTULO V</w:t>
            </w:r>
          </w:p>
          <w:p>
            <w:pPr>
              <w:pStyle w:val="Normal"/>
              <w:widowControl/>
              <w:spacing w:lineRule="auto" w:line="240" w:before="0" w:after="0"/>
              <w:jc w:val="center"/>
              <w:rPr>
                <w:rFonts w:ascii="Calibri" w:hAnsi="Calibri" w:eastAsia="Calibri" w:cs=""/>
                <w:kern w:val="0"/>
                <w:sz w:val="22"/>
                <w:szCs w:val="22"/>
                <w:lang w:val="pt-BR" w:eastAsia="en-US" w:bidi="ar-SA"/>
              </w:rPr>
            </w:pPr>
            <w:r>
              <w:rPr>
                <w:rStyle w:val="Fontepargpadro1"/>
                <w:rFonts w:eastAsia="Calibri" w:cs="Calibri"/>
                <w:b/>
                <w:bCs/>
                <w:kern w:val="0"/>
                <w:sz w:val="20"/>
                <w:szCs w:val="20"/>
                <w:lang w:val="pt-BR" w:eastAsia="en-US" w:bidi="ar-SA"/>
              </w:rPr>
              <w:t>DAS DISPOSIÇÕES FINAIS</w:t>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kern w:val="0"/>
                <w:sz w:val="22"/>
                <w:szCs w:val="22"/>
                <w:lang w:val="pt-BR" w:eastAsia="en-US" w:bidi="ar-SA"/>
              </w:rPr>
              <w:t>Art. 14 Compete ao proprietário, transportador, operador, contratante ou responsável pelo trânsito de máquinas e implementos agrícolas: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 –</w:t>
            </w:r>
            <w:r>
              <w:rPr>
                <w:rFonts w:eastAsia="Calibri" w:cs=""/>
                <w:kern w:val="0"/>
                <w:sz w:val="22"/>
                <w:szCs w:val="22"/>
                <w:lang w:val="pt-BR" w:eastAsia="en-US" w:bidi="ar-SA"/>
              </w:rPr>
              <w:t xml:space="preserve"> assegurar o cumprimento das exigências previstas nesta Instrução Normativa;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II –</w:t>
            </w:r>
            <w:r>
              <w:rPr>
                <w:rFonts w:eastAsia="Calibri" w:cs=""/>
                <w:kern w:val="0"/>
                <w:sz w:val="22"/>
                <w:szCs w:val="22"/>
                <w:lang w:val="pt-BR" w:eastAsia="en-US" w:bidi="ar-SA"/>
              </w:rPr>
              <w:t xml:space="preserve"> disponibilizar documentos e informações solicitados pela fiscalização;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III –</w:t>
            </w:r>
            <w:r>
              <w:rPr>
                <w:rFonts w:eastAsia="Calibri" w:cs=""/>
                <w:kern w:val="0"/>
                <w:sz w:val="22"/>
                <w:szCs w:val="22"/>
                <w:lang w:val="pt-BR" w:eastAsia="en-US" w:bidi="ar-SA"/>
              </w:rPr>
              <w:t xml:space="preserve"> garantir condições adequadas de limpeza e desinfestação fitossanitária de máquinas e implementos agrícolas;</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IV –</w:t>
            </w:r>
            <w:r>
              <w:rPr>
                <w:rFonts w:eastAsia="Calibri" w:cs=""/>
                <w:kern w:val="0"/>
                <w:sz w:val="22"/>
                <w:szCs w:val="22"/>
                <w:lang w:val="pt-BR" w:eastAsia="en-US" w:bidi="ar-SA"/>
              </w:rPr>
              <w:t xml:space="preserve"> executar as medidas corretivas determinadas pela Agrodefesa.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Parágrafo único</w:t>
            </w:r>
            <w:r>
              <w:rPr>
                <w:rFonts w:eastAsia="Calibri" w:cs=""/>
                <w:kern w:val="0"/>
                <w:sz w:val="22"/>
                <w:szCs w:val="22"/>
                <w:lang w:val="pt-BR" w:eastAsia="en-US" w:bidi="ar-SA"/>
              </w:rPr>
              <w:t>. A responsabilidade pelas infrações poderá ser atribuída de forma individual ou solidária, conforme a participação do agente na infração fitossanitária.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162937"/>
                <w:kern w:val="0"/>
                <w:sz w:val="22"/>
                <w:szCs w:val="22"/>
                <w:lang w:val="pt-BR" w:eastAsia="en-US" w:bidi="ar-SA"/>
              </w:rPr>
              <w:t>Art. 15</w:t>
            </w:r>
            <w:r>
              <w:rPr>
                <w:rFonts w:eastAsia="Calibri" w:cs=""/>
                <w:color w:val="162937"/>
                <w:kern w:val="0"/>
                <w:sz w:val="22"/>
                <w:szCs w:val="22"/>
                <w:lang w:val="pt-BR" w:eastAsia="en-US" w:bidi="ar-SA"/>
              </w:rPr>
              <w:t xml:space="preserve"> Os profissionais das ciências agrárias, na condição de assessores, assistentes, consultores, extensionistas, responsáveis técnicos, pesquisadores ou produtores rurais, devem notificar imediatamente a Agrodefesa sobre a primeira detecção ou suspeita de ocorrência de </w:t>
            </w:r>
            <w:r>
              <w:rPr>
                <w:rFonts w:eastAsia="Calibri" w:cs=""/>
                <w:i/>
                <w:iCs/>
                <w:color w:val="162937"/>
                <w:kern w:val="0"/>
                <w:sz w:val="22"/>
                <w:szCs w:val="22"/>
                <w:lang w:val="pt-BR" w:eastAsia="en-US" w:bidi="ar-SA"/>
              </w:rPr>
              <w:t>Amaranthus palmeri</w:t>
            </w:r>
            <w:r>
              <w:rPr>
                <w:rFonts w:eastAsia="Calibri" w:cs=""/>
                <w:color w:val="162937"/>
                <w:kern w:val="0"/>
                <w:sz w:val="22"/>
                <w:szCs w:val="22"/>
                <w:lang w:val="pt-BR" w:eastAsia="en-US" w:bidi="ar-SA"/>
              </w:rPr>
              <w:t xml:space="preserve"> na propriedade.</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162937"/>
                <w:kern w:val="0"/>
                <w:sz w:val="22"/>
                <w:szCs w:val="22"/>
                <w:lang w:val="pt-BR" w:eastAsia="en-US" w:bidi="ar-SA"/>
              </w:rPr>
              <w:t>Art. 16</w:t>
            </w:r>
            <w:r>
              <w:rPr>
                <w:rFonts w:eastAsia="Calibri" w:cs=""/>
                <w:color w:val="162937"/>
                <w:kern w:val="0"/>
                <w:sz w:val="22"/>
                <w:szCs w:val="22"/>
                <w:lang w:val="pt-BR" w:eastAsia="en-US" w:bidi="ar-SA"/>
              </w:rPr>
              <w:t xml:space="preserve"> Em situações de risco iminente de introdução e disseminação da praga, a Agrodefesa poderá adotar medidas fitossanitárias emergenciais adicionais, mediante ato motivado, solicitar a declaração de estado de emergência fitossanitária.</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color w:val="162937"/>
                <w:kern w:val="0"/>
                <w:sz w:val="22"/>
                <w:szCs w:val="22"/>
                <w:lang w:val="pt-BR" w:eastAsia="en-US" w:bidi="ar-SA"/>
              </w:rPr>
              <w:t>Art. 17</w:t>
            </w:r>
            <w:r>
              <w:rPr>
                <w:rFonts w:eastAsia="Calibri" w:cs=""/>
                <w:color w:val="162937"/>
                <w:kern w:val="0"/>
                <w:sz w:val="22"/>
                <w:szCs w:val="22"/>
                <w:lang w:val="pt-BR" w:eastAsia="en-US" w:bidi="ar-SA"/>
              </w:rPr>
              <w:t xml:space="preserve"> Após a publicação desta normativa, a Agrodefesa disponibilizará os procedimentos operacionais de fiscalização, autodeclaração de higienização no SIDAGO e a Autorização para o Trânsito de Máquinas e Implementos Agrícolas (ATMaq).</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b/>
                <w:bCs/>
                <w:kern w:val="0"/>
                <w:sz w:val="22"/>
                <w:szCs w:val="22"/>
                <w:lang w:val="pt-BR" w:eastAsia="en-US" w:bidi="ar-SA"/>
              </w:rPr>
              <w:t>Art. 18</w:t>
            </w:r>
            <w:r>
              <w:rPr>
                <w:rFonts w:eastAsia="Calibri" w:cs=""/>
                <w:kern w:val="0"/>
                <w:sz w:val="22"/>
                <w:szCs w:val="22"/>
                <w:lang w:val="pt-BR" w:eastAsia="en-US" w:bidi="ar-SA"/>
              </w:rPr>
              <w:t xml:space="preserve"> </w:t>
            </w:r>
            <w:r>
              <w:rPr>
                <w:rFonts w:eastAsia="Calibri" w:cs="Calibri"/>
                <w:color w:val="000000"/>
                <w:kern w:val="0"/>
                <w:sz w:val="22"/>
                <w:szCs w:val="22"/>
                <w:lang w:val="pt-BR" w:eastAsia="en-US" w:bidi="ar-SA"/>
              </w:rPr>
              <w:t>O descumprimento das exigências contidas nesta norma sujeitará o(s) infrator(es) as penalidades previstas na Lei n.º 14.245, de 29 de julho de 2002 e seu regulamento aprovado pelo Decreto n.º 6.295, de 16 de novembro de 2005, sem prejuízo das sanções penais previstas no Art. 61, da Lei Federal n.º 9.605, de 12 de fevereiro de 1998.</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r>
        <w:trPr/>
        <w:tc>
          <w:tcPr>
            <w:tcW w:w="5100" w:type="dxa"/>
            <w:tcBorders/>
          </w:tcPr>
          <w:p>
            <w:pPr>
              <w:pStyle w:val="Normal"/>
              <w:widowControl/>
              <w:spacing w:lineRule="auto" w:line="240" w:before="0" w:after="0"/>
              <w:jc w:val="left"/>
              <w:rPr>
                <w:rFonts w:ascii="Calibri" w:hAnsi="Calibri" w:eastAsia="Calibri" w:cs=""/>
                <w:kern w:val="0"/>
                <w:sz w:val="22"/>
                <w:szCs w:val="22"/>
                <w:lang w:val="pt-BR" w:eastAsia="en-US" w:bidi="ar-SA"/>
              </w:rPr>
            </w:pPr>
            <w:r>
              <w:rPr>
                <w:rFonts w:eastAsia="Calibri" w:cs=""/>
                <w:kern w:val="0"/>
                <w:sz w:val="22"/>
                <w:szCs w:val="22"/>
                <w:lang w:val="pt-BR" w:eastAsia="en-US" w:bidi="ar-SA"/>
              </w:rPr>
              <w:t xml:space="preserve">Art. 19 Esta Instrução Normativa entra em vigor </w:t>
            </w:r>
            <w:r>
              <w:rPr>
                <w:rFonts w:eastAsia="Microsoft YaHei" w:cs="Arial"/>
                <w:kern w:val="0"/>
                <w:sz w:val="22"/>
                <w:szCs w:val="22"/>
                <w:lang w:val="pt-BR" w:eastAsia="en-US" w:bidi="ar-SA"/>
              </w:rPr>
              <w:t>90</w:t>
            </w:r>
            <w:r>
              <w:rPr>
                <w:rFonts w:eastAsia="Calibri" w:cs=""/>
                <w:kern w:val="0"/>
                <w:sz w:val="22"/>
                <w:szCs w:val="22"/>
                <w:lang w:val="pt-BR" w:eastAsia="en-US" w:bidi="ar-SA"/>
              </w:rPr>
              <w:t xml:space="preserve"> (</w:t>
            </w:r>
            <w:r>
              <w:rPr>
                <w:rFonts w:eastAsia="Microsoft YaHei" w:cs="Arial"/>
                <w:kern w:val="0"/>
                <w:sz w:val="22"/>
                <w:szCs w:val="22"/>
                <w:lang w:val="pt-BR" w:eastAsia="en-US" w:bidi="ar-SA"/>
              </w:rPr>
              <w:t>noventa</w:t>
            </w:r>
            <w:r>
              <w:rPr>
                <w:rFonts w:eastAsia="Calibri" w:cs=""/>
                <w:kern w:val="0"/>
                <w:sz w:val="22"/>
                <w:szCs w:val="22"/>
                <w:lang w:val="pt-BR" w:eastAsia="en-US" w:bidi="ar-SA"/>
              </w:rPr>
              <w:t>) dias após a data de sua publicação.</w:t>
            </w:r>
          </w:p>
        </w:tc>
        <w:tc>
          <w:tcPr>
            <w:tcW w:w="5100" w:type="dxa"/>
            <w:tcBorders/>
          </w:tcPr>
          <w:p>
            <w:pPr>
              <w:pStyle w:val="Normal"/>
              <w:widowControl/>
              <w:spacing w:lineRule="auto" w:line="240" w:before="0" w:after="0"/>
              <w:jc w:val="left"/>
              <w:rPr>
                <w:sz w:val="20"/>
                <w:szCs w:val="20"/>
              </w:rPr>
            </w:pPr>
            <w:r>
              <w:rPr>
                <w:rFonts w:eastAsia="Calibri" w:cs=""/>
                <w:kern w:val="0"/>
                <w:sz w:val="20"/>
                <w:szCs w:val="20"/>
                <w:lang w:val="pt-BR" w:eastAsia="en-US" w:bidi="ar-SA"/>
              </w:rPr>
            </w:r>
          </w:p>
        </w:tc>
      </w:tr>
    </w:tbl>
    <w:p>
      <w:pPr>
        <w:pStyle w:val="Normal"/>
        <w:widowControl/>
        <w:bidi w:val="0"/>
        <w:spacing w:lineRule="auto" w:line="259" w:before="0" w:after="160"/>
        <w:jc w:val="left"/>
        <w:rPr/>
      </w:pPr>
      <w:r>
        <w:rPr/>
      </w:r>
    </w:p>
    <w:sectPr>
      <w:type w:val="nextPage"/>
      <w:pgSz w:w="11906" w:h="16838"/>
      <w:pgMar w:left="855" w:right="1706"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Heading4">
    <w:name w:val="Heading 4"/>
    <w:basedOn w:val="Normal"/>
    <w:next w:val="Textbody"/>
    <w:link w:val="Ttulo4Char"/>
    <w:uiPriority w:val="9"/>
    <w:unhideWhenUsed/>
    <w:qFormat/>
    <w:rsid w:val="00202ec3"/>
    <w:pPr>
      <w:keepNext w:val="true"/>
      <w:suppressAutoHyphens w:val="true"/>
      <w:spacing w:lineRule="auto" w:line="240" w:before="120" w:after="120"/>
      <w:textAlignment w:val="baseline"/>
      <w:outlineLvl w:val="3"/>
    </w:pPr>
    <w:rPr>
      <w:rFonts w:ascii="Liberation Sans" w:hAnsi="Liberation Sans" w:eastAsia="Microsoft YaHei" w:cs="Arial"/>
      <w:b/>
      <w:bCs/>
      <w:i/>
      <w:iCs/>
      <w:kern w:val="2"/>
      <w:sz w:val="26"/>
      <w:szCs w:val="26"/>
      <w:lang w:eastAsia="zh-CN" w:bidi="hi-IN"/>
    </w:rPr>
  </w:style>
  <w:style w:type="character" w:styleId="DefaultParagraphFont" w:default="1">
    <w:name w:val="Default Paragraph Font"/>
    <w:uiPriority w:val="1"/>
    <w:semiHidden/>
    <w:unhideWhenUsed/>
    <w:qFormat/>
    <w:rPr/>
  </w:style>
  <w:style w:type="character" w:styleId="Emphasis">
    <w:name w:val="Emphasis"/>
    <w:qFormat/>
    <w:rsid w:val="00202ec3"/>
    <w:rPr>
      <w:i/>
      <w:iCs/>
    </w:rPr>
  </w:style>
  <w:style w:type="character" w:styleId="Ttulo4Char" w:customStyle="1">
    <w:name w:val="Título 4 Char"/>
    <w:basedOn w:val="DefaultParagraphFont"/>
    <w:uiPriority w:val="9"/>
    <w:qFormat/>
    <w:rsid w:val="00202ec3"/>
    <w:rPr>
      <w:rFonts w:ascii="Liberation Sans" w:hAnsi="Liberation Sans" w:eastAsia="Microsoft YaHei" w:cs="Arial"/>
      <w:b/>
      <w:bCs/>
      <w:i/>
      <w:iCs/>
      <w:kern w:val="2"/>
      <w:sz w:val="26"/>
      <w:szCs w:val="26"/>
      <w:lang w:eastAsia="zh-CN" w:bidi="hi-IN"/>
    </w:rPr>
  </w:style>
  <w:style w:type="character" w:styleId="StrongEmphasis" w:customStyle="1">
    <w:name w:val="Strong Emphasis"/>
    <w:qFormat/>
    <w:rsid w:val="003e5192"/>
    <w:rPr>
      <w:b/>
      <w:bCs/>
    </w:rPr>
  </w:style>
  <w:style w:type="character" w:styleId="Fontepargpadro1" w:customStyle="1">
    <w:name w:val="Fonte parág. padrão1"/>
    <w:qFormat/>
    <w:rsid w:val="003e5192"/>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extbody" w:customStyle="1">
    <w:name w:val="Text body"/>
    <w:basedOn w:val="Normal"/>
    <w:qFormat/>
    <w:rsid w:val="00202ec3"/>
    <w:pPr>
      <w:suppressAutoHyphens w:val="true"/>
      <w:spacing w:lineRule="auto" w:line="276" w:before="0" w:after="140"/>
      <w:textAlignment w:val="baseline"/>
    </w:pPr>
    <w:rPr>
      <w:rFonts w:ascii="Liberation Serif" w:hAnsi="Liberation Serif" w:eastAsia="NSimSun" w:cs="Arial"/>
      <w:kern w:val="2"/>
      <w:sz w:val="24"/>
      <w:szCs w:val="24"/>
      <w:lang w:eastAsia="zh-CN" w:bidi="hi-IN"/>
    </w:rPr>
  </w:style>
  <w:style w:type="paragraph" w:styleId="Standard" w:customStyle="1">
    <w:name w:val="Standard"/>
    <w:qFormat/>
    <w:rsid w:val="003e5192"/>
    <w:pPr>
      <w:widowControl/>
      <w:suppressAutoHyphens w:val="true"/>
      <w:bidi w:val="0"/>
      <w:spacing w:lineRule="auto" w:line="240" w:before="0" w:after="0"/>
      <w:jc w:val="left"/>
      <w:textAlignment w:val="baseline"/>
    </w:pPr>
    <w:rPr>
      <w:rFonts w:ascii="Liberation Serif" w:hAnsi="Liberation Serif" w:eastAsia="NSimSun" w:cs="Arial"/>
      <w:color w:val="auto"/>
      <w:kern w:val="2"/>
      <w:sz w:val="24"/>
      <w:szCs w:val="24"/>
      <w:lang w:eastAsia="zh-CN" w:bidi="hi-IN" w:val="pt-BR"/>
    </w:rPr>
  </w:style>
  <w:style w:type="paragraph" w:styleId="Default" w:customStyle="1">
    <w:name w:val="Default"/>
    <w:qFormat/>
    <w:rsid w:val="00f94d88"/>
    <w:pPr>
      <w:widowControl/>
      <w:suppressAutoHyphens w:val="true"/>
      <w:bidi w:val="0"/>
      <w:spacing w:lineRule="auto" w:line="240" w:before="0" w:after="0"/>
      <w:jc w:val="left"/>
      <w:textAlignment w:val="baseline"/>
    </w:pPr>
    <w:rPr>
      <w:rFonts w:ascii="Calibri" w:hAnsi="Calibri" w:eastAsia="Calibri" w:cs="Calibri"/>
      <w:color w:val="000000"/>
      <w:kern w:val="0"/>
      <w:sz w:val="24"/>
      <w:szCs w:val="24"/>
      <w:lang w:val="pt-BR" w:eastAsia="en-US" w:bidi="ar-SA"/>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39"/>
    <w:rsid w:val="00202ec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LibreOffice/24.2.5.2$Windows_X86_64 LibreOffice_project/bffef4ea93e59bebbeaf7f431bb02b1a39ee8a59</Application>
  <AppVersion>15.0000</AppVersion>
  <Pages>11</Pages>
  <Words>3333</Words>
  <Characters>18003</Characters>
  <CharactersWithSpaces>21294</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2026-05-26T13:19:00Z</dcterms:created>
  <dc:creator>Leonardo Barros de Macedo</dc:creator>
  <dc:description/>
  <dc:language>pt-BR</dc:language>
  <cp:lastModifiedBy/>
  <dcterms:modified xsi:type="dcterms:W3CDTF">2026-05-26T10:28:30Z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