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360B" w:rsidRDefault="003F360B"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Pr>
          <w:rStyle w:val="Forte"/>
          <w:rFonts w:ascii="Calibri" w:hAnsi="Calibri" w:cs="Calibri"/>
          <w:caps/>
          <w:color w:val="000000"/>
          <w:sz w:val="26"/>
          <w:szCs w:val="26"/>
        </w:rPr>
        <w:t>Nota Explicativa Nº 12 / 2026 AGEHAB/NFCT-20038</w:t>
      </w:r>
      <w:bookmarkStart w:id="0" w:name="_GoBack"/>
      <w:bookmarkEnd w:id="0"/>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Notas Explicativas da administração às Demonstrações Financeiras</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AGÊNCIA GOIANA DE HABITAÇÃO S/A - AGEHAB</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CNPJ 01.274.240/0001-47</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xml:space="preserve">31 de </w:t>
      </w:r>
      <w:proofErr w:type="gramStart"/>
      <w:r w:rsidRPr="003807ED">
        <w:rPr>
          <w:rFonts w:ascii="Calibri" w:eastAsia="Times New Roman" w:hAnsi="Calibri" w:cs="Calibri"/>
          <w:b/>
          <w:bCs/>
          <w:caps/>
          <w:color w:val="000000"/>
          <w:sz w:val="26"/>
          <w:szCs w:val="26"/>
          <w:lang w:eastAsia="pt-BR"/>
        </w:rPr>
        <w:t>Dezembro</w:t>
      </w:r>
      <w:proofErr w:type="gramEnd"/>
      <w:r w:rsidRPr="003807ED">
        <w:rPr>
          <w:rFonts w:ascii="Calibri" w:eastAsia="Times New Roman" w:hAnsi="Calibri" w:cs="Calibri"/>
          <w:b/>
          <w:bCs/>
          <w:caps/>
          <w:color w:val="000000"/>
          <w:sz w:val="26"/>
          <w:szCs w:val="26"/>
          <w:lang w:eastAsia="pt-BR"/>
        </w:rPr>
        <w:t xml:space="preserve"> de 2025</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 INFORMAÇÕES GERAIS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1.1. A AGÊNCIA GOIANA DE HABITAÇÃO S/A, adiante denominada AGEHAB, uma sociedade por ações, de economia mista, companhia de capital fechado, integrante da administração indireta do Estado de Goiás, sucedânea da COMPANHIA DE HABITAÇÃO DE GOIÁS – COHAB-GO, criada na forma do Decreto-Lei Estadual nº 226, de 03 de julho de 1970 e Lei Municipal de Goiânia n.º 4.652,de 29 de dezembro de 1972, transformada na Agência Goiana de Habitação, através da Lei Estadual n.º 13.532, de 15 de outubro de 1999, sendo credenciada para administrar a carteira habitacional pertencente ao Estado de Goiás e, subordinada ao controle acionário do Governo de Goiás, se reger- </w:t>
      </w:r>
      <w:proofErr w:type="spellStart"/>
      <w:r w:rsidRPr="003807ED">
        <w:rPr>
          <w:rFonts w:ascii="Calibri" w:eastAsia="Times New Roman" w:hAnsi="Calibri" w:cs="Calibri"/>
          <w:color w:val="000000"/>
          <w:sz w:val="27"/>
          <w:szCs w:val="27"/>
          <w:lang w:eastAsia="pt-BR"/>
        </w:rPr>
        <w:t>se-á</w:t>
      </w:r>
      <w:proofErr w:type="spellEnd"/>
      <w:r w:rsidRPr="003807ED">
        <w:rPr>
          <w:rFonts w:ascii="Calibri" w:eastAsia="Times New Roman" w:hAnsi="Calibri" w:cs="Calibri"/>
          <w:color w:val="000000"/>
          <w:sz w:val="27"/>
          <w:szCs w:val="27"/>
          <w:lang w:eastAsia="pt-BR"/>
        </w:rPr>
        <w:t xml:space="preserve"> pelo presente Estatuto, pela Lei Federal n.º 6.404, de 15 de dezembro de 1976, pela Lei Federal n.º 13.303, de 30 de junho de 2016 e demais legislações aplicáveis.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1.2. A AGEHAB é uma sociedade dotada de personalidade jurídica de direito privado, com patrimônio próprio e autonomia administrativa e financeira, pertencente a Administração Indireta do Poder Executivo Estadual, sendo assim jurisdicionada a um órgão da Administração Direta nos termos da legislação estadual vigente que dispõe sobre a organização administrativa básica do Poder Executivo.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1.3. A AGEHAB, para todos os efeitos jurídicos, tem sede e foro na cidade de Goiânia, Capital do Estado de Goiás, na Rua 18-A, n° 541, Quadra 31-A, Lote 20/21, Setor Aeroporto, CEP: 74070- 060.</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2. INFORMAÇÕES OPERACIONAIS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2.1. A AGEHAB é uma empresa prestadora de serviços tendo como principais objetos sociais administrar a Carteira Imobiliária pertencente ao Estado de Goiás e administrar os recursos financeiros oriundos de Subvenções Governamentais para cumprimento dos PROGRAMAS SOCIAIS DE HABITAÇÃO DE INTERESSE SOCIAL.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2.2. Objeto Social conforme Estatuto Social: Art. 3º. Constitui objeto da AGEHAB: Art. 3º. Constitui objeto da </w:t>
      </w:r>
      <w:proofErr w:type="gramStart"/>
      <w:r w:rsidRPr="003807ED">
        <w:rPr>
          <w:rFonts w:ascii="Calibri" w:eastAsia="Times New Roman" w:hAnsi="Calibri" w:cs="Calibri"/>
          <w:color w:val="000000"/>
          <w:sz w:val="27"/>
          <w:szCs w:val="27"/>
          <w:lang w:eastAsia="pt-BR"/>
        </w:rPr>
        <w:t>AGEHAB:I.</w:t>
      </w:r>
      <w:proofErr w:type="gramEnd"/>
      <w:r w:rsidRPr="003807ED">
        <w:rPr>
          <w:rFonts w:ascii="Calibri" w:eastAsia="Times New Roman" w:hAnsi="Calibri" w:cs="Calibri"/>
          <w:color w:val="000000"/>
          <w:sz w:val="27"/>
          <w:szCs w:val="27"/>
          <w:lang w:eastAsia="pt-BR"/>
        </w:rPr>
        <w:t xml:space="preserve"> elaborar, empreender e implantar soluções habitacionais e de regularização fundiária de interesse social que visem a redução do déficit habitacional do Estado de Goiás; II. </w:t>
      </w:r>
      <w:proofErr w:type="gramStart"/>
      <w:r w:rsidRPr="003807ED">
        <w:rPr>
          <w:rFonts w:ascii="Calibri" w:eastAsia="Times New Roman" w:hAnsi="Calibri" w:cs="Calibri"/>
          <w:color w:val="000000"/>
          <w:sz w:val="27"/>
          <w:szCs w:val="27"/>
          <w:lang w:eastAsia="pt-BR"/>
        </w:rPr>
        <w:t>administrar</w:t>
      </w:r>
      <w:proofErr w:type="gramEnd"/>
      <w:r w:rsidRPr="003807ED">
        <w:rPr>
          <w:rFonts w:ascii="Calibri" w:eastAsia="Times New Roman" w:hAnsi="Calibri" w:cs="Calibri"/>
          <w:color w:val="000000"/>
          <w:sz w:val="27"/>
          <w:szCs w:val="27"/>
          <w:lang w:eastAsia="pt-BR"/>
        </w:rPr>
        <w:t xml:space="preserve"> a Carteira Imobiliária pertencente ao Estado de Goiás; III. </w:t>
      </w:r>
      <w:proofErr w:type="gramStart"/>
      <w:r w:rsidRPr="003807ED">
        <w:rPr>
          <w:rFonts w:ascii="Calibri" w:eastAsia="Times New Roman" w:hAnsi="Calibri" w:cs="Calibri"/>
          <w:color w:val="000000"/>
          <w:sz w:val="27"/>
          <w:szCs w:val="27"/>
          <w:lang w:eastAsia="pt-BR"/>
        </w:rPr>
        <w:t>elaborar</w:t>
      </w:r>
      <w:proofErr w:type="gramEnd"/>
      <w:r w:rsidRPr="003807ED">
        <w:rPr>
          <w:rFonts w:ascii="Calibri" w:eastAsia="Times New Roman" w:hAnsi="Calibri" w:cs="Calibri"/>
          <w:color w:val="000000"/>
          <w:sz w:val="27"/>
          <w:szCs w:val="27"/>
          <w:lang w:eastAsia="pt-BR"/>
        </w:rPr>
        <w:t xml:space="preserve"> programas, planejar, projetar, executar, produzir obras de construções de unidades habitacionais, reformas, equipamentos comunitários, de infraestrutura urbana em lotes urbanizados e rurais; IV. </w:t>
      </w:r>
      <w:proofErr w:type="gramStart"/>
      <w:r w:rsidRPr="003807ED">
        <w:rPr>
          <w:rFonts w:ascii="Calibri" w:eastAsia="Times New Roman" w:hAnsi="Calibri" w:cs="Calibri"/>
          <w:color w:val="000000"/>
          <w:sz w:val="27"/>
          <w:szCs w:val="27"/>
          <w:lang w:eastAsia="pt-BR"/>
        </w:rPr>
        <w:t>empreender</w:t>
      </w:r>
      <w:proofErr w:type="gramEnd"/>
      <w:r w:rsidRPr="003807ED">
        <w:rPr>
          <w:rFonts w:ascii="Calibri" w:eastAsia="Times New Roman" w:hAnsi="Calibri" w:cs="Calibri"/>
          <w:color w:val="000000"/>
          <w:sz w:val="27"/>
          <w:szCs w:val="27"/>
          <w:lang w:eastAsia="pt-BR"/>
        </w:rPr>
        <w:t xml:space="preserve"> atividades de desenvolvimento social em zona urbana, rural ou comunitária; V. prospectar e atrair as melhores soluções tecnológicas de mercado referentes à habitação e regularização fundiária de interesse social para o Estado de Goiás; VI. </w:t>
      </w:r>
      <w:proofErr w:type="gramStart"/>
      <w:r w:rsidRPr="003807ED">
        <w:rPr>
          <w:rFonts w:ascii="Calibri" w:eastAsia="Times New Roman" w:hAnsi="Calibri" w:cs="Calibri"/>
          <w:color w:val="000000"/>
          <w:sz w:val="27"/>
          <w:szCs w:val="27"/>
          <w:lang w:eastAsia="pt-BR"/>
        </w:rPr>
        <w:t>transferir</w:t>
      </w:r>
      <w:proofErr w:type="gramEnd"/>
      <w:r w:rsidRPr="003807ED">
        <w:rPr>
          <w:rFonts w:ascii="Calibri" w:eastAsia="Times New Roman" w:hAnsi="Calibri" w:cs="Calibri"/>
          <w:color w:val="000000"/>
          <w:sz w:val="27"/>
          <w:szCs w:val="27"/>
          <w:lang w:eastAsia="pt-BR"/>
        </w:rPr>
        <w:t xml:space="preserve"> recursos financeiros que assegurem o direito social à moradia digna por intermédio da transferência direta de renda para custear a locação de imóveis ou o pagamento da prestação da casa própria, por tempo determinado, a segmentos inscritos no Cadastro Único para Programas Sociais do Governo Federal – </w:t>
      </w:r>
      <w:proofErr w:type="spellStart"/>
      <w:r w:rsidRPr="003807ED">
        <w:rPr>
          <w:rFonts w:ascii="Calibri" w:eastAsia="Times New Roman" w:hAnsi="Calibri" w:cs="Calibri"/>
          <w:color w:val="000000"/>
          <w:sz w:val="27"/>
          <w:szCs w:val="27"/>
          <w:lang w:eastAsia="pt-BR"/>
        </w:rPr>
        <w:t>CadÚnico</w:t>
      </w:r>
      <w:proofErr w:type="spellEnd"/>
      <w:r w:rsidRPr="003807ED">
        <w:rPr>
          <w:rFonts w:ascii="Calibri" w:eastAsia="Times New Roman" w:hAnsi="Calibri" w:cs="Calibri"/>
          <w:color w:val="000000"/>
          <w:sz w:val="27"/>
          <w:szCs w:val="27"/>
          <w:lang w:eastAsia="pt-BR"/>
        </w:rPr>
        <w:t xml:space="preserve">; VII. </w:t>
      </w:r>
      <w:proofErr w:type="gramStart"/>
      <w:r w:rsidRPr="003807ED">
        <w:rPr>
          <w:rFonts w:ascii="Calibri" w:eastAsia="Times New Roman" w:hAnsi="Calibri" w:cs="Calibri"/>
          <w:color w:val="000000"/>
          <w:sz w:val="27"/>
          <w:szCs w:val="27"/>
          <w:lang w:eastAsia="pt-BR"/>
        </w:rPr>
        <w:t>identificar</w:t>
      </w:r>
      <w:proofErr w:type="gramEnd"/>
      <w:r w:rsidRPr="003807ED">
        <w:rPr>
          <w:rFonts w:ascii="Calibri" w:eastAsia="Times New Roman" w:hAnsi="Calibri" w:cs="Calibri"/>
          <w:color w:val="000000"/>
          <w:sz w:val="27"/>
          <w:szCs w:val="27"/>
          <w:lang w:eastAsia="pt-BR"/>
        </w:rPr>
        <w:t xml:space="preserve"> e mobilizar fontes para financiamento dos planos de habitação social, inclusive, aqueles destinados a equipamentos e à investidura de apoio ao desenvolvimento da comunidade; VIII. </w:t>
      </w:r>
      <w:proofErr w:type="gramStart"/>
      <w:r w:rsidRPr="003807ED">
        <w:rPr>
          <w:rFonts w:ascii="Calibri" w:eastAsia="Times New Roman" w:hAnsi="Calibri" w:cs="Calibri"/>
          <w:color w:val="000000"/>
          <w:sz w:val="27"/>
          <w:szCs w:val="27"/>
          <w:lang w:eastAsia="pt-BR"/>
        </w:rPr>
        <w:t>empreender</w:t>
      </w:r>
      <w:proofErr w:type="gramEnd"/>
      <w:r w:rsidRPr="003807ED">
        <w:rPr>
          <w:rFonts w:ascii="Calibri" w:eastAsia="Times New Roman" w:hAnsi="Calibri" w:cs="Calibri"/>
          <w:color w:val="000000"/>
          <w:sz w:val="27"/>
          <w:szCs w:val="27"/>
          <w:lang w:eastAsia="pt-BR"/>
        </w:rPr>
        <w:t xml:space="preserve"> construções, para si ou para terceiros, e participar de transações comerciais e industriais ou, ainda, de sociedades correlatas, desde que vinculadas às suas finalidades; IX. exercer a comercialização e, quando entender oportuno, a industrialização de materiais de construção, desde que vinculada à sua finalidade; X. preservar, manter atualizado e protegido, nos termos das legislações vigentes, todos os dados e</w:t>
      </w:r>
      <w:r w:rsidRPr="003807ED">
        <w:rPr>
          <w:rFonts w:ascii="Calibri" w:eastAsia="Times New Roman" w:hAnsi="Calibri" w:cs="Calibri"/>
          <w:color w:val="000000"/>
          <w:sz w:val="27"/>
          <w:szCs w:val="27"/>
          <w:lang w:eastAsia="pt-BR"/>
        </w:rPr>
        <w:br/>
        <w:t xml:space="preserve">informações relacionados a execução dos programas habitacionais e de regularização fundiária de interesse social, inclusive de beneficiários; XI. </w:t>
      </w:r>
      <w:proofErr w:type="gramStart"/>
      <w:r w:rsidRPr="003807ED">
        <w:rPr>
          <w:rFonts w:ascii="Calibri" w:eastAsia="Times New Roman" w:hAnsi="Calibri" w:cs="Calibri"/>
          <w:color w:val="000000"/>
          <w:sz w:val="27"/>
          <w:szCs w:val="27"/>
          <w:lang w:eastAsia="pt-BR"/>
        </w:rPr>
        <w:t>promover</w:t>
      </w:r>
      <w:proofErr w:type="gramEnd"/>
      <w:r w:rsidRPr="003807ED">
        <w:rPr>
          <w:rFonts w:ascii="Calibri" w:eastAsia="Times New Roman" w:hAnsi="Calibri" w:cs="Calibri"/>
          <w:color w:val="000000"/>
          <w:sz w:val="27"/>
          <w:szCs w:val="27"/>
          <w:lang w:eastAsia="pt-BR"/>
        </w:rPr>
        <w:t xml:space="preserve"> a regularização fundiária das ocupações de interesse social, na forma da legislação vigente, bem como estabelecer parcerias com Municípios, entidades, associações e outros para capacitação técnica e outros serviços na área em questão; XII. </w:t>
      </w:r>
      <w:proofErr w:type="gramStart"/>
      <w:r w:rsidRPr="003807ED">
        <w:rPr>
          <w:rFonts w:ascii="Calibri" w:eastAsia="Times New Roman" w:hAnsi="Calibri" w:cs="Calibri"/>
          <w:color w:val="000000"/>
          <w:sz w:val="27"/>
          <w:szCs w:val="27"/>
          <w:lang w:eastAsia="pt-BR"/>
        </w:rPr>
        <w:t>firmar</w:t>
      </w:r>
      <w:proofErr w:type="gramEnd"/>
      <w:r w:rsidRPr="003807ED">
        <w:rPr>
          <w:rFonts w:ascii="Calibri" w:eastAsia="Times New Roman" w:hAnsi="Calibri" w:cs="Calibri"/>
          <w:color w:val="000000"/>
          <w:sz w:val="27"/>
          <w:szCs w:val="27"/>
          <w:lang w:eastAsia="pt-BR"/>
        </w:rPr>
        <w:t xml:space="preserve"> ajustes diversos, tais como, convênios, acordos ou contratos com pessoas físicas e jurídicas de direito público ou privado, bem como ajustes de parceria com a União, Estados e Municípios, inclusive por meio da Caixa Econômica Federal, Banco do Brasil, ou outra instituição financeira credenciada, para execução do objeto social da empresa; XIII. </w:t>
      </w:r>
      <w:proofErr w:type="gramStart"/>
      <w:r w:rsidRPr="003807ED">
        <w:rPr>
          <w:rFonts w:ascii="Calibri" w:eastAsia="Times New Roman" w:hAnsi="Calibri" w:cs="Calibri"/>
          <w:color w:val="000000"/>
          <w:sz w:val="27"/>
          <w:szCs w:val="27"/>
          <w:lang w:eastAsia="pt-BR"/>
        </w:rPr>
        <w:t>adquirir</w:t>
      </w:r>
      <w:proofErr w:type="gramEnd"/>
      <w:r w:rsidRPr="003807ED">
        <w:rPr>
          <w:rFonts w:ascii="Calibri" w:eastAsia="Times New Roman" w:hAnsi="Calibri" w:cs="Calibri"/>
          <w:color w:val="000000"/>
          <w:sz w:val="27"/>
          <w:szCs w:val="27"/>
          <w:lang w:eastAsia="pt-BR"/>
        </w:rPr>
        <w:t xml:space="preserve"> e alienar terrenos, receber doações, subvenções e auxílios, permutar, arrendar, alugar bens imóveis de sua propriedade, administrar imóveis, e, eventualmente, sugerir desapropriações ao Poder Público a fim de atender às necessidades básicas de produção de unidades habitacionais de interesse social; XIV. </w:t>
      </w:r>
      <w:proofErr w:type="gramStart"/>
      <w:r w:rsidRPr="003807ED">
        <w:rPr>
          <w:rFonts w:ascii="Calibri" w:eastAsia="Times New Roman" w:hAnsi="Calibri" w:cs="Calibri"/>
          <w:color w:val="000000"/>
          <w:sz w:val="27"/>
          <w:szCs w:val="27"/>
          <w:lang w:eastAsia="pt-BR"/>
        </w:rPr>
        <w:t>adquirir</w:t>
      </w:r>
      <w:proofErr w:type="gramEnd"/>
      <w:r w:rsidRPr="003807ED">
        <w:rPr>
          <w:rFonts w:ascii="Calibri" w:eastAsia="Times New Roman" w:hAnsi="Calibri" w:cs="Calibri"/>
          <w:color w:val="000000"/>
          <w:sz w:val="27"/>
          <w:szCs w:val="27"/>
          <w:lang w:eastAsia="pt-BR"/>
        </w:rPr>
        <w:t xml:space="preserve"> imóveis prontos, sejam eles novos ou usados, em construção, na planta, ou de loteamento para implantação de empreendimentos habitacionais de interesse social, todos para posterior doação das unidades habitacionais de interesse social em benefício de famílias de baixa renda, vulneráveis social e economicamente; XV. </w:t>
      </w:r>
      <w:proofErr w:type="gramStart"/>
      <w:r w:rsidRPr="003807ED">
        <w:rPr>
          <w:rFonts w:ascii="Calibri" w:eastAsia="Times New Roman" w:hAnsi="Calibri" w:cs="Calibri"/>
          <w:color w:val="000000"/>
          <w:sz w:val="27"/>
          <w:szCs w:val="27"/>
          <w:lang w:eastAsia="pt-BR"/>
        </w:rPr>
        <w:t>cobrar</w:t>
      </w:r>
      <w:proofErr w:type="gramEnd"/>
      <w:r w:rsidRPr="003807ED">
        <w:rPr>
          <w:rFonts w:ascii="Calibri" w:eastAsia="Times New Roman" w:hAnsi="Calibri" w:cs="Calibri"/>
          <w:color w:val="000000"/>
          <w:sz w:val="27"/>
          <w:szCs w:val="27"/>
          <w:lang w:eastAsia="pt-BR"/>
        </w:rPr>
        <w:t xml:space="preserve"> taxas de fiscalização, bem como comercializar seus projetos arquitetônicos de unidades habitacionais junto a empresas e/ou particulares; XVI. </w:t>
      </w:r>
      <w:proofErr w:type="gramStart"/>
      <w:r w:rsidRPr="003807ED">
        <w:rPr>
          <w:rFonts w:ascii="Calibri" w:eastAsia="Times New Roman" w:hAnsi="Calibri" w:cs="Calibri"/>
          <w:color w:val="000000"/>
          <w:sz w:val="27"/>
          <w:szCs w:val="27"/>
          <w:lang w:eastAsia="pt-BR"/>
        </w:rPr>
        <w:t>articular</w:t>
      </w:r>
      <w:proofErr w:type="gramEnd"/>
      <w:r w:rsidRPr="003807ED">
        <w:rPr>
          <w:rFonts w:ascii="Calibri" w:eastAsia="Times New Roman" w:hAnsi="Calibri" w:cs="Calibri"/>
          <w:color w:val="000000"/>
          <w:sz w:val="27"/>
          <w:szCs w:val="27"/>
          <w:lang w:eastAsia="pt-BR"/>
        </w:rPr>
        <w:t xml:space="preserve"> com os Municípios, sindicatos, entidades associativas e cooperativas, visando desenvolver programas de cartas de créditos para o atendimento das necessidades de habitação de grupos sociais específicos que tenham no associativismo uma modalidade de aquisição de casa própria; XVII. </w:t>
      </w:r>
      <w:proofErr w:type="gramStart"/>
      <w:r w:rsidRPr="003807ED">
        <w:rPr>
          <w:rFonts w:ascii="Calibri" w:eastAsia="Times New Roman" w:hAnsi="Calibri" w:cs="Calibri"/>
          <w:color w:val="000000"/>
          <w:sz w:val="27"/>
          <w:szCs w:val="27"/>
          <w:lang w:eastAsia="pt-BR"/>
        </w:rPr>
        <w:t>prestar</w:t>
      </w:r>
      <w:proofErr w:type="gramEnd"/>
      <w:r w:rsidRPr="003807ED">
        <w:rPr>
          <w:rFonts w:ascii="Calibri" w:eastAsia="Times New Roman" w:hAnsi="Calibri" w:cs="Calibri"/>
          <w:color w:val="000000"/>
          <w:sz w:val="27"/>
          <w:szCs w:val="27"/>
          <w:lang w:eastAsia="pt-BR"/>
        </w:rPr>
        <w:t xml:space="preserve"> assistência técnica gratuita à municípios e entidades diversas, desde que relacionadas ao objeto social da empresa; XVIII. </w:t>
      </w:r>
      <w:proofErr w:type="gramStart"/>
      <w:r w:rsidRPr="003807ED">
        <w:rPr>
          <w:rFonts w:ascii="Calibri" w:eastAsia="Times New Roman" w:hAnsi="Calibri" w:cs="Calibri"/>
          <w:color w:val="000000"/>
          <w:sz w:val="27"/>
          <w:szCs w:val="27"/>
          <w:lang w:eastAsia="pt-BR"/>
        </w:rPr>
        <w:t>abrir</w:t>
      </w:r>
      <w:proofErr w:type="gramEnd"/>
      <w:r w:rsidRPr="003807ED">
        <w:rPr>
          <w:rFonts w:ascii="Calibri" w:eastAsia="Times New Roman" w:hAnsi="Calibri" w:cs="Calibri"/>
          <w:color w:val="000000"/>
          <w:sz w:val="27"/>
          <w:szCs w:val="27"/>
          <w:lang w:eastAsia="pt-BR"/>
        </w:rPr>
        <w:t>, instalar, extinguir filiais, dependências, agências, sucursais, escritórios e representações, relacionados à programas habitacionais e regularização fundiária de interesse social.</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Objetivo Institucional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2.3. A AGEHAB tem como atividade finalística a execução das políticas públicas, programas e ações voltadas ao direito de habitação, bem como a regularização fundiária, especialmente da população que não dispõe de meios para prover às suas necessidades habitacionais.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Eixo: Goiás da Inclusão</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Objetivo Estratégico: Proteção Social</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Programa: Moradia como base da cidadania</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2.4. Os dados demonstrados abaixo referem-se aos resultados operacionais dos programas sociais de habitação de interesse social, administrados pela AGEHAB, conforme DESPACHO Nº 28/2026/AGEHAB/NGPM-11799 (</w:t>
      </w:r>
      <w:hyperlink r:id="rId4" w:tgtFrame="_blank" w:history="1">
        <w:r w:rsidRPr="003807ED">
          <w:rPr>
            <w:rFonts w:ascii="Calibri" w:eastAsia="Times New Roman" w:hAnsi="Calibri" w:cs="Calibri"/>
            <w:color w:val="0000FF"/>
            <w:sz w:val="27"/>
            <w:szCs w:val="27"/>
            <w:u w:val="single"/>
            <w:lang w:eastAsia="pt-BR"/>
          </w:rPr>
          <w:t>86585806</w:t>
        </w:r>
      </w:hyperlink>
      <w:r w:rsidRPr="003807ED">
        <w:rPr>
          <w:rFonts w:ascii="Calibri" w:eastAsia="Times New Roman" w:hAnsi="Calibri" w:cs="Calibri"/>
          <w:color w:val="000000"/>
          <w:sz w:val="27"/>
          <w:szCs w:val="27"/>
          <w:lang w:eastAsia="pt-BR"/>
        </w:rPr>
        <w:t>).</w:t>
      </w:r>
    </w:p>
    <w:tbl>
      <w:tblPr>
        <w:tblW w:w="1508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9700"/>
        <w:gridCol w:w="1900"/>
        <w:gridCol w:w="3480"/>
      </w:tblGrid>
      <w:tr w:rsidR="003807ED" w:rsidRPr="003807ED" w:rsidTr="003807ED">
        <w:trPr>
          <w:trHeight w:val="255"/>
        </w:trPr>
        <w:tc>
          <w:tcPr>
            <w:tcW w:w="15080" w:type="dxa"/>
            <w:gridSpan w:val="3"/>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before="216" w:after="216"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b/>
                <w:bCs/>
                <w:color w:val="000000"/>
                <w:sz w:val="20"/>
                <w:szCs w:val="20"/>
                <w:lang w:eastAsia="pt-BR"/>
              </w:rPr>
              <w:t>Eixo: Goiás Social</w:t>
            </w:r>
          </w:p>
        </w:tc>
      </w:tr>
      <w:tr w:rsidR="003807ED" w:rsidRPr="003807ED" w:rsidTr="003807ED">
        <w:trPr>
          <w:trHeight w:val="255"/>
        </w:trPr>
        <w:tc>
          <w:tcPr>
            <w:tcW w:w="15080" w:type="dxa"/>
            <w:gridSpan w:val="3"/>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before="216" w:after="216"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b/>
                <w:bCs/>
                <w:color w:val="000000"/>
                <w:sz w:val="20"/>
                <w:szCs w:val="20"/>
                <w:lang w:eastAsia="pt-BR"/>
              </w:rPr>
              <w:t>Objetivo Estratégico: Proteção Social</w:t>
            </w:r>
          </w:p>
        </w:tc>
      </w:tr>
      <w:tr w:rsidR="003807ED" w:rsidRPr="003807ED" w:rsidTr="003807ED">
        <w:trPr>
          <w:trHeight w:val="255"/>
        </w:trPr>
        <w:tc>
          <w:tcPr>
            <w:tcW w:w="15080" w:type="dxa"/>
            <w:gridSpan w:val="3"/>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before="216" w:after="216"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b/>
                <w:bCs/>
                <w:color w:val="000000"/>
                <w:sz w:val="20"/>
                <w:szCs w:val="20"/>
                <w:lang w:eastAsia="pt-BR"/>
              </w:rPr>
              <w:t>Programa: 1032- Moradia como base da cidadania</w:t>
            </w:r>
          </w:p>
        </w:tc>
      </w:tr>
      <w:tr w:rsidR="003807ED" w:rsidRPr="003807ED" w:rsidTr="003807ED">
        <w:trPr>
          <w:trHeight w:val="255"/>
        </w:trPr>
        <w:tc>
          <w:tcPr>
            <w:tcW w:w="9700" w:type="dxa"/>
            <w:vMerge w:val="restart"/>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before="216" w:after="216"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b/>
                <w:bCs/>
                <w:color w:val="000000"/>
                <w:sz w:val="20"/>
                <w:szCs w:val="20"/>
                <w:lang w:eastAsia="pt-BR"/>
              </w:rPr>
              <w:t>Produto</w:t>
            </w:r>
          </w:p>
        </w:tc>
        <w:tc>
          <w:tcPr>
            <w:tcW w:w="19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before="216" w:after="216"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b/>
                <w:bCs/>
                <w:color w:val="000000"/>
                <w:sz w:val="20"/>
                <w:szCs w:val="20"/>
                <w:lang w:eastAsia="pt-BR"/>
              </w:rPr>
              <w:t>2025</w:t>
            </w:r>
          </w:p>
        </w:tc>
        <w:tc>
          <w:tcPr>
            <w:tcW w:w="34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before="216" w:after="216" w:line="240" w:lineRule="auto"/>
              <w:jc w:val="center"/>
              <w:rPr>
                <w:rFonts w:ascii="Times New Roman" w:eastAsia="Times New Roman" w:hAnsi="Times New Roman" w:cs="Times New Roman"/>
                <w:b/>
                <w:bCs/>
                <w:color w:val="000000"/>
                <w:sz w:val="20"/>
                <w:szCs w:val="20"/>
                <w:lang w:eastAsia="pt-BR"/>
              </w:rPr>
            </w:pPr>
            <w:r w:rsidRPr="003807ED">
              <w:rPr>
                <w:rFonts w:ascii="Times New Roman" w:eastAsia="Times New Roman" w:hAnsi="Times New Roman" w:cs="Times New Roman"/>
                <w:b/>
                <w:bCs/>
                <w:color w:val="000000"/>
                <w:sz w:val="20"/>
                <w:szCs w:val="20"/>
                <w:lang w:eastAsia="pt-BR"/>
              </w:rPr>
              <w:t> </w:t>
            </w:r>
          </w:p>
        </w:tc>
      </w:tr>
      <w:tr w:rsidR="003807ED" w:rsidRPr="003807ED" w:rsidTr="003807ED">
        <w:trPr>
          <w:trHeight w:val="255"/>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807ED" w:rsidRPr="003807ED" w:rsidRDefault="003807ED" w:rsidP="003807ED">
            <w:pPr>
              <w:spacing w:before="216" w:after="216" w:line="240" w:lineRule="auto"/>
              <w:rPr>
                <w:rFonts w:ascii="Times New Roman" w:eastAsia="Times New Roman" w:hAnsi="Times New Roman" w:cs="Times New Roman"/>
                <w:color w:val="000000"/>
                <w:sz w:val="20"/>
                <w:szCs w:val="20"/>
                <w:lang w:eastAsia="pt-BR"/>
              </w:rPr>
            </w:pPr>
          </w:p>
        </w:tc>
        <w:tc>
          <w:tcPr>
            <w:tcW w:w="19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before="216" w:after="216"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b/>
                <w:bCs/>
                <w:color w:val="000000"/>
                <w:sz w:val="20"/>
                <w:szCs w:val="20"/>
                <w:lang w:eastAsia="pt-BR"/>
              </w:rPr>
              <w:t>Resultados</w:t>
            </w:r>
          </w:p>
        </w:tc>
        <w:tc>
          <w:tcPr>
            <w:tcW w:w="34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before="216" w:after="216"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b/>
                <w:bCs/>
                <w:color w:val="000000"/>
                <w:sz w:val="20"/>
                <w:szCs w:val="20"/>
                <w:lang w:eastAsia="pt-BR"/>
              </w:rPr>
              <w:t>Observações</w:t>
            </w:r>
          </w:p>
        </w:tc>
      </w:tr>
      <w:tr w:rsidR="003807ED" w:rsidRPr="003807ED" w:rsidTr="003807ED">
        <w:trPr>
          <w:trHeight w:val="255"/>
        </w:trPr>
        <w:tc>
          <w:tcPr>
            <w:tcW w:w="34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100" w:afterAutospacing="1"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10684 - PESSOA ATENDIDA COM AUXILIO SOCIAL</w:t>
            </w:r>
          </w:p>
          <w:p w:rsidR="003807ED" w:rsidRPr="003807ED" w:rsidRDefault="003807ED" w:rsidP="003807ED">
            <w:pPr>
              <w:spacing w:before="100" w:beforeAutospacing="1"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20564 - PESSOA ATENDIDA COM ALUGUEL SOCIAL</w:t>
            </w:r>
          </w:p>
        </w:tc>
        <w:tc>
          <w:tcPr>
            <w:tcW w:w="19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12.743</w:t>
            </w:r>
          </w:p>
        </w:tc>
        <w:tc>
          <w:tcPr>
            <w:tcW w:w="34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Cartões Entregues</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100" w:afterAutospacing="1"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10684 - PESSOA ATENDIDA COM AUXILIO SOCIAL  </w:t>
            </w:r>
          </w:p>
          <w:p w:rsidR="003807ED" w:rsidRPr="003807ED" w:rsidRDefault="003807ED" w:rsidP="003807ED">
            <w:pPr>
              <w:spacing w:before="100" w:beforeAutospacing="1"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20564 - PESSOA ATENDIDA COM ALUGUEL SOCIAL</w:t>
            </w:r>
          </w:p>
        </w:tc>
        <w:tc>
          <w:tcPr>
            <w:tcW w:w="19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26.586</w:t>
            </w:r>
          </w:p>
        </w:tc>
        <w:tc>
          <w:tcPr>
            <w:tcW w:w="34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Famílias Ativas</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100" w:afterAutospacing="1"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15780 - CONSTRUÇÃO DE HABITAÇÃO DE INTERESSE SOCIAL (RECURSOS DO PROTEGE)</w:t>
            </w:r>
          </w:p>
          <w:p w:rsidR="003807ED" w:rsidRPr="003807ED" w:rsidRDefault="003807ED" w:rsidP="003807ED">
            <w:pPr>
              <w:spacing w:before="100" w:beforeAutospacing="1"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20569 - CONSTRUÇÃO DE HABITAÇÃO DE INTERESSE SOCIAL</w:t>
            </w:r>
          </w:p>
        </w:tc>
        <w:tc>
          <w:tcPr>
            <w:tcW w:w="19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2.673</w:t>
            </w:r>
          </w:p>
        </w:tc>
        <w:tc>
          <w:tcPr>
            <w:tcW w:w="34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Unidades Concluídas</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100" w:afterAutospacing="1"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15780 - CONSTRUÇÃO DE HABITAÇÃO DE INTERESSE SOCIAL (RECURSOS DO PROTEGE)</w:t>
            </w:r>
          </w:p>
          <w:p w:rsidR="003807ED" w:rsidRPr="003807ED" w:rsidRDefault="003807ED" w:rsidP="003807ED">
            <w:pPr>
              <w:spacing w:before="100" w:beforeAutospacing="1"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20569 - CONSTRUÇÃO DE HABITAÇÃO DE INTERESSE SOCIAL</w:t>
            </w:r>
          </w:p>
        </w:tc>
        <w:tc>
          <w:tcPr>
            <w:tcW w:w="19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1.731</w:t>
            </w:r>
          </w:p>
        </w:tc>
        <w:tc>
          <w:tcPr>
            <w:tcW w:w="34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Unidades Entregues</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100" w:afterAutospacing="1"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7764 - ESCRITURA ENTREGUE</w:t>
            </w:r>
          </w:p>
          <w:p w:rsidR="003807ED" w:rsidRPr="003807ED" w:rsidRDefault="003807ED" w:rsidP="003807ED">
            <w:pPr>
              <w:spacing w:before="100" w:beforeAutospacing="1"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20533 - REGULARIZAÇÃO FUNDIÁRIA REGISTRADA</w:t>
            </w:r>
          </w:p>
        </w:tc>
        <w:tc>
          <w:tcPr>
            <w:tcW w:w="19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5.333</w:t>
            </w:r>
          </w:p>
        </w:tc>
        <w:tc>
          <w:tcPr>
            <w:tcW w:w="34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Imóveis Registrados</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100" w:afterAutospacing="1"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15800 - REFORMA DE HABITAÇÃO DE INTERESSE SOCIAL (RECURSOS DO PROTEGE)</w:t>
            </w:r>
          </w:p>
          <w:p w:rsidR="003807ED" w:rsidRPr="003807ED" w:rsidRDefault="003807ED" w:rsidP="003807ED">
            <w:pPr>
              <w:spacing w:before="100" w:beforeAutospacing="1"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20570 - REFORMA DE HABITAÇÃO DE INTERESSE SOCIAL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40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Unidades Em andamento</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8251 - UNIDADE HABITACIONAL CONSTRUÍDA</w:t>
            </w:r>
          </w:p>
        </w:tc>
        <w:tc>
          <w:tcPr>
            <w:tcW w:w="19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6.578</w:t>
            </w:r>
          </w:p>
        </w:tc>
        <w:tc>
          <w:tcPr>
            <w:tcW w:w="34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Unidades Entregues</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100" w:afterAutospacing="1"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6939 - EQUIPAMENTO COMUNITÁRIO CONSTRUÍDO</w:t>
            </w:r>
          </w:p>
          <w:p w:rsidR="003807ED" w:rsidRPr="003807ED" w:rsidRDefault="003807ED" w:rsidP="003807ED">
            <w:pPr>
              <w:spacing w:before="100" w:beforeAutospacing="1"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20547 - EQUIPAMENTOS COMUNITÁRIOS REFORMADOS/CONSTRUÍDOS</w:t>
            </w:r>
          </w:p>
        </w:tc>
        <w:tc>
          <w:tcPr>
            <w:tcW w:w="19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10</w:t>
            </w:r>
          </w:p>
        </w:tc>
        <w:tc>
          <w:tcPr>
            <w:tcW w:w="34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Concluídos</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100" w:afterAutospacing="1"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6939 - EQUIPAMENTO COMUNITÁRIO CONSTRUÍDO</w:t>
            </w:r>
          </w:p>
          <w:p w:rsidR="003807ED" w:rsidRPr="003807ED" w:rsidRDefault="003807ED" w:rsidP="003807ED">
            <w:pPr>
              <w:spacing w:before="100" w:beforeAutospacing="1"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20547 - EQUIPAMENTOS COMUNITÁRIOS REFORMADOS/CONSTRUÍDOS</w:t>
            </w:r>
          </w:p>
        </w:tc>
        <w:tc>
          <w:tcPr>
            <w:tcW w:w="19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3</w:t>
            </w:r>
          </w:p>
        </w:tc>
        <w:tc>
          <w:tcPr>
            <w:tcW w:w="34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jc w:val="center"/>
              <w:rPr>
                <w:rFonts w:ascii="Times New Roman" w:eastAsia="Times New Roman" w:hAnsi="Times New Roman" w:cs="Times New Roman"/>
                <w:color w:val="000000"/>
                <w:sz w:val="20"/>
                <w:szCs w:val="20"/>
                <w:lang w:eastAsia="pt-BR"/>
              </w:rPr>
            </w:pPr>
            <w:r w:rsidRPr="003807ED">
              <w:rPr>
                <w:rFonts w:ascii="Times New Roman" w:eastAsia="Times New Roman" w:hAnsi="Times New Roman" w:cs="Times New Roman"/>
                <w:color w:val="000000"/>
                <w:sz w:val="20"/>
                <w:szCs w:val="20"/>
                <w:lang w:eastAsia="pt-BR"/>
              </w:rPr>
              <w:t>Entregues</w:t>
            </w:r>
          </w:p>
        </w:tc>
      </w:tr>
    </w:tbl>
    <w:p w:rsidR="003807ED" w:rsidRPr="003807ED" w:rsidRDefault="003807ED" w:rsidP="003807ED">
      <w:pPr>
        <w:spacing w:before="120" w:after="120" w:line="240" w:lineRule="auto"/>
        <w:ind w:left="120" w:right="120" w:firstLine="1699"/>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3. ORÇAMENTO FISCAL E DA SEGURIDADE SOCIAL DO ESTADO DE GOIÁS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3.1. AGÊNCIA GOIANA DE HABITAÇÃO S/A, classificada como Empresa Estatal Dependente, conforme artigo 2º da Lei Federal nº 101 de 04 de maio de 2000, por receber Subvenção Econômica do governo do Estado de Goiás de acordo com a LEI ORDINÁRIA ESTADUAL Nº 20.733, DE 17 DE JANEIRO DE 2020. Assim, a partir do Exercício Social de 2021, integrante do Orçamento Fiscal e da Seguridade Social do Estado de Goiás.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3.2. Assim, os fatos financeiros, orçamentários e contábeis, baseia-se na Lei nº 23.246 de 25 de </w:t>
      </w:r>
      <w:proofErr w:type="gramStart"/>
      <w:r w:rsidRPr="003807ED">
        <w:rPr>
          <w:rFonts w:ascii="Calibri" w:eastAsia="Times New Roman" w:hAnsi="Calibri" w:cs="Calibri"/>
          <w:color w:val="000000"/>
          <w:sz w:val="27"/>
          <w:szCs w:val="27"/>
          <w:lang w:eastAsia="pt-BR"/>
        </w:rPr>
        <w:t>Janeiro</w:t>
      </w:r>
      <w:proofErr w:type="gramEnd"/>
      <w:r w:rsidRPr="003807ED">
        <w:rPr>
          <w:rFonts w:ascii="Calibri" w:eastAsia="Times New Roman" w:hAnsi="Calibri" w:cs="Calibri"/>
          <w:color w:val="000000"/>
          <w:sz w:val="27"/>
          <w:szCs w:val="27"/>
          <w:lang w:eastAsia="pt-BR"/>
        </w:rPr>
        <w:t xml:space="preserve"> de 2025 que estima a receita e fixa a despesa do Estado de Goiás para o Exercício de 2025.</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3.3. Das Fontes de Recursos Orçamentários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3.3.1</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7"/>
          <w:szCs w:val="27"/>
          <w:lang w:eastAsia="pt-BR"/>
        </w:rPr>
        <w:t>Recurso Arrecadado refere-se ao contrato prestação de serviço para gerir a Carteira Habitacional do Estado de Goiás e prestação de serviço registros documentais.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3.3.2. Recurso oriundo da Alienação de Bens Imóveis, comercializados para viabilizar programas habitacionais.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3.3.3. Subvenção governamental para custeio refere-se ao Recurso Ordinário do tesouro do Estado de Goiás recebido pela AGEHAB para pagamento das despesas com pessoal, custeio e de seus investimentos.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3.3.4. Subvenções Governamentais para às ações sociais de Programas Habitacionais: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3.3.4.1. Subvenção Governamental oriunda do Tesouro do Estado de Goiás para subsidiar programas de governo MORADIA COMO BASE DE CIDADANIA com às ações sociais de Construção e Reforma de Unidades Habitacionais, Regularização Fundiária e Aluguel Social conforme Lei Estadual nº 14.469, de 16 de julho de 2003 e suas alterações posteriores.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(i) Recurso do Fundo de Proteção Social do Estado de Goiás - PROTEGE GOIÁS.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w:t>
      </w:r>
      <w:proofErr w:type="spellStart"/>
      <w:r w:rsidRPr="003807ED">
        <w:rPr>
          <w:rFonts w:ascii="Calibri" w:eastAsia="Times New Roman" w:hAnsi="Calibri" w:cs="Calibri"/>
          <w:color w:val="000000"/>
          <w:sz w:val="27"/>
          <w:szCs w:val="27"/>
          <w:lang w:eastAsia="pt-BR"/>
        </w:rPr>
        <w:t>ii</w:t>
      </w:r>
      <w:proofErr w:type="spellEnd"/>
      <w:r w:rsidRPr="003807ED">
        <w:rPr>
          <w:rFonts w:ascii="Calibri" w:eastAsia="Times New Roman" w:hAnsi="Calibri" w:cs="Calibri"/>
          <w:color w:val="000000"/>
          <w:sz w:val="27"/>
          <w:szCs w:val="27"/>
          <w:lang w:eastAsia="pt-BR"/>
        </w:rPr>
        <w:t>) Recurso Ordinário do Estado de Goiás.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3.3.4.2. Recursos financeiros com utilização de Orçamento Geral da União para Construção de Unidades Habitacionais e Equipamentos Comunitários, por meio de Termos de Compromissos e Convênios.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4. DEMONSTRAÇÕES FINANCEIRAS EM 31 DE DEZEMBRO DE 2025</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4.1. Declaração de conformidade</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4.1.1. As demonstrações financeiras foram elaboradas em conformidade com as práticas contábeis adotadas no Brasil, em conformidade com as Leis 6.404/76, 11.638/07 e 11.941/09, abrangendo a legislação societária brasileira, os pronunciamentos, as orientações e as interpretações contábeis emitidas pelo Comitê de Pronunciamentos Contábeis e aprovados pela Comissão de Valores Mobiliários – CVM através de suas deliberações e normas emitidas pelo Conselho Federal de Contabilidade, em convergências com as Normas Internacionais de Contabilidade.</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4.1.2. A administração da empresa declara e confirma que todas as informações relevantes próprias e constantes nas Demonstrações Financeiras, estão sendo evidenciadas e que correspondem às informações utilizadas pela sua gestão.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4.1.3. A AGEHAB que, como entidade da Administração Pública Estadual Indireta, integrante do Balanço Geral do Estado de Goiás, nos termos da Lei nº 23.246 de 25 de </w:t>
      </w:r>
      <w:proofErr w:type="gramStart"/>
      <w:r w:rsidRPr="003807ED">
        <w:rPr>
          <w:rFonts w:ascii="Calibri" w:eastAsia="Times New Roman" w:hAnsi="Calibri" w:cs="Calibri"/>
          <w:color w:val="000000"/>
          <w:sz w:val="27"/>
          <w:szCs w:val="27"/>
          <w:lang w:eastAsia="pt-BR"/>
        </w:rPr>
        <w:t>Janeiro</w:t>
      </w:r>
      <w:proofErr w:type="gramEnd"/>
      <w:r w:rsidRPr="003807ED">
        <w:rPr>
          <w:rFonts w:ascii="Calibri" w:eastAsia="Times New Roman" w:hAnsi="Calibri" w:cs="Calibri"/>
          <w:color w:val="000000"/>
          <w:sz w:val="27"/>
          <w:szCs w:val="27"/>
          <w:lang w:eastAsia="pt-BR"/>
        </w:rPr>
        <w:t xml:space="preserve"> de 2025 que dispôs, dentre outros, sobre as diretrizes para a elaboração do orçamento: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Artigo 1º II – o Orçamento da Seguridade Social, com todos os órgãos e as entidades vinculados à Seguridade Social pertencentes aos Poderes Executivo, Judiciário e Legislativo, inclusive ao Tribunal de Contas do Estado de Goiás, ao Tribunal de Contas dos Municípios do Estado de Goiás, ao Ministério Público do Estado de Goiás, à Defensoria Pública do Estado de Goiás, aos seus fundos, às fundações e às empresas estatais dependentes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4.2. Moeda Funcional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4.2.1. A moeda funcional praticada pela AGEHAB é o Real (R$). Todos os valores de apresentação das Demonstrações Financeiras estão expressos em milhares de reais.</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4.3. Principais Práticas Contábeis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4.3.1. Revisão Práticas Contábeis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Através da</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7"/>
          <w:szCs w:val="27"/>
          <w:lang w:eastAsia="pt-BR"/>
        </w:rPr>
        <w:t>Nota Técnica nº: 3/2025/AGEHAB/NFCT-20038 (</w:t>
      </w:r>
      <w:hyperlink r:id="rId5" w:tgtFrame="_blank" w:history="1">
        <w:r w:rsidRPr="003807ED">
          <w:rPr>
            <w:rFonts w:ascii="Calibri" w:eastAsia="Times New Roman" w:hAnsi="Calibri" w:cs="Calibri"/>
            <w:color w:val="0000FF"/>
            <w:sz w:val="27"/>
            <w:szCs w:val="27"/>
            <w:u w:val="single"/>
            <w:lang w:eastAsia="pt-BR"/>
          </w:rPr>
          <w:t>70236446</w:t>
        </w:r>
      </w:hyperlink>
      <w:r w:rsidRPr="003807ED">
        <w:rPr>
          <w:rFonts w:ascii="Calibri" w:eastAsia="Times New Roman" w:hAnsi="Calibri" w:cs="Calibri"/>
          <w:color w:val="000000"/>
          <w:sz w:val="27"/>
          <w:szCs w:val="27"/>
          <w:lang w:eastAsia="pt-BR"/>
        </w:rPr>
        <w:t>) Processo 202500031000850 foi implementado uma revisão nas práticas contábeis na Agência Goiana de Habitação S/A- AGEHAB com o objetivo aprimorar as características qualitativas fundamental e de melhoria das informações contábeis, (NBC TG Estrutura Conceitual), e de aumentar a transparência e a fidedignidade das informações, necessárias à compreensão da situação financeira da empresa para os administradores, acionistas, usuários e para a sociedade em geral.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 revisão das práticas contábeis aprimorou a apresentação das demonstrações financeiras a partir das seguintes normas contábeis: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(i) NBC TG – Estrutura Conceitual para Relatório Financeiro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w:t>
      </w:r>
      <w:proofErr w:type="spellStart"/>
      <w:r w:rsidRPr="003807ED">
        <w:rPr>
          <w:rFonts w:ascii="Calibri" w:eastAsia="Times New Roman" w:hAnsi="Calibri" w:cs="Calibri"/>
          <w:color w:val="000000"/>
          <w:sz w:val="27"/>
          <w:szCs w:val="27"/>
          <w:lang w:eastAsia="pt-BR"/>
        </w:rPr>
        <w:t>ii</w:t>
      </w:r>
      <w:proofErr w:type="spellEnd"/>
      <w:r w:rsidRPr="003807ED">
        <w:rPr>
          <w:rFonts w:ascii="Calibri" w:eastAsia="Times New Roman" w:hAnsi="Calibri" w:cs="Calibri"/>
          <w:color w:val="000000"/>
          <w:sz w:val="27"/>
          <w:szCs w:val="27"/>
          <w:lang w:eastAsia="pt-BR"/>
        </w:rPr>
        <w:t>) NBC TG 03 (R3) - Demonstração dos Fluxos de Caixa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w:t>
      </w:r>
      <w:proofErr w:type="spellStart"/>
      <w:r w:rsidRPr="003807ED">
        <w:rPr>
          <w:rFonts w:ascii="Calibri" w:eastAsia="Times New Roman" w:hAnsi="Calibri" w:cs="Calibri"/>
          <w:color w:val="000000"/>
          <w:sz w:val="27"/>
          <w:szCs w:val="27"/>
          <w:lang w:eastAsia="pt-BR"/>
        </w:rPr>
        <w:t>iii</w:t>
      </w:r>
      <w:proofErr w:type="spellEnd"/>
      <w:r w:rsidRPr="003807ED">
        <w:rPr>
          <w:rFonts w:ascii="Calibri" w:eastAsia="Times New Roman" w:hAnsi="Calibri" w:cs="Calibri"/>
          <w:color w:val="000000"/>
          <w:sz w:val="27"/>
          <w:szCs w:val="27"/>
          <w:lang w:eastAsia="pt-BR"/>
        </w:rPr>
        <w:t>) NBC TG 07 (R2) – Subvenção e Assistência Governamentais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w:t>
      </w:r>
      <w:proofErr w:type="spellStart"/>
      <w:r w:rsidRPr="003807ED">
        <w:rPr>
          <w:rFonts w:ascii="Calibri" w:eastAsia="Times New Roman" w:hAnsi="Calibri" w:cs="Calibri"/>
          <w:color w:val="000000"/>
          <w:sz w:val="27"/>
          <w:szCs w:val="27"/>
          <w:lang w:eastAsia="pt-BR"/>
        </w:rPr>
        <w:t>iv</w:t>
      </w:r>
      <w:proofErr w:type="spellEnd"/>
      <w:r w:rsidRPr="003807ED">
        <w:rPr>
          <w:rFonts w:ascii="Calibri" w:eastAsia="Times New Roman" w:hAnsi="Calibri" w:cs="Calibri"/>
          <w:color w:val="000000"/>
          <w:sz w:val="27"/>
          <w:szCs w:val="27"/>
          <w:lang w:eastAsia="pt-BR"/>
        </w:rPr>
        <w:t>) NBC TG 09 (R1) - Demonstração do Valor Adicionado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(v) NBC TG 21 (R4) – Demonstração Intermediária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(vi) NBC TG 23 (R2) – Políticas Contábeis, Mudança de Estimativa e Retificação de Erro.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w:t>
      </w:r>
      <w:proofErr w:type="spellStart"/>
      <w:r w:rsidRPr="003807ED">
        <w:rPr>
          <w:rFonts w:ascii="Calibri" w:eastAsia="Times New Roman" w:hAnsi="Calibri" w:cs="Calibri"/>
          <w:color w:val="000000"/>
          <w:sz w:val="27"/>
          <w:szCs w:val="27"/>
          <w:lang w:eastAsia="pt-BR"/>
        </w:rPr>
        <w:t>vii</w:t>
      </w:r>
      <w:proofErr w:type="spellEnd"/>
      <w:r w:rsidRPr="003807ED">
        <w:rPr>
          <w:rFonts w:ascii="Calibri" w:eastAsia="Times New Roman" w:hAnsi="Calibri" w:cs="Calibri"/>
          <w:color w:val="000000"/>
          <w:sz w:val="27"/>
          <w:szCs w:val="27"/>
          <w:lang w:eastAsia="pt-BR"/>
        </w:rPr>
        <w:t>) NBC TG 26 (R5) – Apresentação das Demonstrações Contábeis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w:t>
      </w:r>
      <w:proofErr w:type="spellStart"/>
      <w:r w:rsidRPr="003807ED">
        <w:rPr>
          <w:rFonts w:ascii="Calibri" w:eastAsia="Times New Roman" w:hAnsi="Calibri" w:cs="Calibri"/>
          <w:color w:val="000000"/>
          <w:sz w:val="27"/>
          <w:szCs w:val="27"/>
          <w:lang w:eastAsia="pt-BR"/>
        </w:rPr>
        <w:t>viii</w:t>
      </w:r>
      <w:proofErr w:type="spellEnd"/>
      <w:r w:rsidRPr="003807ED">
        <w:rPr>
          <w:rFonts w:ascii="Calibri" w:eastAsia="Times New Roman" w:hAnsi="Calibri" w:cs="Calibri"/>
          <w:color w:val="000000"/>
          <w:sz w:val="27"/>
          <w:szCs w:val="27"/>
          <w:lang w:eastAsia="pt-BR"/>
        </w:rPr>
        <w:t>) NBC TG 47 – Receita de Contrato com Cliente</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4.3.2. Em especial, a revisão das práticas contábeis levou ao aperfeiçoamento da (i) nomenclatura das principais contas; (</w:t>
      </w:r>
      <w:proofErr w:type="spellStart"/>
      <w:r w:rsidRPr="003807ED">
        <w:rPr>
          <w:rFonts w:ascii="Calibri" w:eastAsia="Times New Roman" w:hAnsi="Calibri" w:cs="Calibri"/>
          <w:color w:val="000000"/>
          <w:sz w:val="27"/>
          <w:szCs w:val="27"/>
          <w:lang w:eastAsia="pt-BR"/>
        </w:rPr>
        <w:t>ii</w:t>
      </w:r>
      <w:proofErr w:type="spellEnd"/>
      <w:r w:rsidRPr="003807ED">
        <w:rPr>
          <w:rFonts w:ascii="Calibri" w:eastAsia="Times New Roman" w:hAnsi="Calibri" w:cs="Calibri"/>
          <w:color w:val="000000"/>
          <w:sz w:val="27"/>
          <w:szCs w:val="27"/>
          <w:lang w:eastAsia="pt-BR"/>
        </w:rPr>
        <w:t>) composição da receita operacional bruta da AGEHAB sob o ponto de vista da contabilidade societária, à luz das Norma Brasileira de Contabilidade – NBC TG 47, CPC 47 (R21) divulgadas pelo Conselho Federal de Contabilidade baseadas nas normas de contabilidade internacionais (IFRS 15); e (</w:t>
      </w:r>
      <w:proofErr w:type="spellStart"/>
      <w:r w:rsidRPr="003807ED">
        <w:rPr>
          <w:rFonts w:ascii="Calibri" w:eastAsia="Times New Roman" w:hAnsi="Calibri" w:cs="Calibri"/>
          <w:color w:val="000000"/>
          <w:sz w:val="27"/>
          <w:szCs w:val="27"/>
          <w:lang w:eastAsia="pt-BR"/>
        </w:rPr>
        <w:t>iii</w:t>
      </w:r>
      <w:proofErr w:type="spellEnd"/>
      <w:r w:rsidRPr="003807ED">
        <w:rPr>
          <w:rFonts w:ascii="Calibri" w:eastAsia="Times New Roman" w:hAnsi="Calibri" w:cs="Calibri"/>
          <w:color w:val="000000"/>
          <w:sz w:val="27"/>
          <w:szCs w:val="27"/>
          <w:lang w:eastAsia="pt-BR"/>
        </w:rPr>
        <w:t>) na forma de demonstrar a subvenção governamental.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4.3.3. As principais alterações de nomenclaturas são: Das nomenclaturas das contas de Receita Ordinária – Orçamento do Estado de Goiás: Fonte 100 para Subvenção de Custeio - Recursos Tesouro Estadual, Subvenção para Investimento Termos de Compromissos União/CEF para Subvenção o Programa Habitacional - Recursos União, Subvenção para Investimento Estado de Goiás – PROTEGE 156 para Subvenção para Investimento Tesouro Estadual – Estado de Goiás, Serviço Aplicado - Termo de Compromisso - União/CEF, Serviço Aplicado - Governo do Estado de Goiás - Protege - Programas Finalísticos para Aplicação Programa Habitacional(Recursos Aplicados – União/Recursos Aplicados - Estado de Goiás) e Criação de grupo Outras Receitas não integrante do Grupo de Receita Bruta Operacional para contabilização específica das Subvenção de Custeio e Subvenção para execução das ações sociais do Programa Habitacional com recurso financeiro do Estado de Goiás e União.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4.3.2. Principais Práticas Contábeis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 Critérios de reconhecimento dos resultados – A entidade adota o regime de competência para registro de suas operações. A aplicação desse regime implica no reconhecimento dos ingressos, dispêndios e despesas quando ganhas ou incorridas, independentemente de seu efetivo recebimento ou pagamento;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 Provisões para Férias e 13º Salário - É constituída com base nos direitos adquiridos pelos empregados públicos até a data do balanço e incluem os correspondentes encargos sociais. Suportado por relatórios;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proofErr w:type="gramStart"/>
      <w:r w:rsidRPr="003807ED">
        <w:rPr>
          <w:rFonts w:ascii="Calibri" w:eastAsia="Times New Roman" w:hAnsi="Calibri" w:cs="Calibri"/>
          <w:color w:val="000000"/>
          <w:sz w:val="27"/>
          <w:szCs w:val="27"/>
          <w:lang w:eastAsia="pt-BR"/>
        </w:rPr>
        <w:t>c) Demais</w:t>
      </w:r>
      <w:proofErr w:type="gramEnd"/>
      <w:r w:rsidRPr="003807ED">
        <w:rPr>
          <w:rFonts w:ascii="Calibri" w:eastAsia="Times New Roman" w:hAnsi="Calibri" w:cs="Calibri"/>
          <w:color w:val="000000"/>
          <w:sz w:val="27"/>
          <w:szCs w:val="27"/>
          <w:lang w:eastAsia="pt-BR"/>
        </w:rPr>
        <w:t> ativos e passivos – Circunscritos em período previsto de até 12 meses do exercício subsequente estão classificados como Curto Prazo Circulante, e os acima de 12 meses no Ativo e Passivo Não Circulante;</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d) Ativo Imobilizado – Os itens pertencentes ao Ativo Imobilizado estão registrados ao custo de aquisição. Os encargos de depreciação são reconhecidos pelo método linear e depreciados baseados nas depreciações fiscais e societárias;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e) Demais Passivos Circulantes – os demais passivos circulantes, são demonstrados pelos valores conhecidos ou calculáveis, acrescidos, quando aplicável, dos correspondentes encargos e variações monetárias;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f) Passivos Não Circulantes - Os passivos não circulantes são demonstrados pelos valores conhecidos ou calculáveis, acrescidos, quando aplicável, dos correspondentes encargos incorridos até 31 de </w:t>
      </w:r>
      <w:proofErr w:type="gramStart"/>
      <w:r w:rsidRPr="003807ED">
        <w:rPr>
          <w:rFonts w:ascii="Calibri" w:eastAsia="Times New Roman" w:hAnsi="Calibri" w:cs="Calibri"/>
          <w:color w:val="000000"/>
          <w:sz w:val="27"/>
          <w:szCs w:val="27"/>
          <w:lang w:eastAsia="pt-BR"/>
        </w:rPr>
        <w:t>Dezembro</w:t>
      </w:r>
      <w:proofErr w:type="gramEnd"/>
      <w:r w:rsidRPr="003807ED">
        <w:rPr>
          <w:rFonts w:ascii="Calibri" w:eastAsia="Times New Roman" w:hAnsi="Calibri" w:cs="Calibri"/>
          <w:color w:val="000000"/>
          <w:sz w:val="27"/>
          <w:szCs w:val="27"/>
          <w:lang w:eastAsia="pt-BR"/>
        </w:rPr>
        <w:t> de 2025;</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g) Receitas e Despesas - As receitas e despesas são reconhecidas pelo regime de Competência. As apropriações das receitas e despesas foram registradas na data em que ocorreram o fato gerador;</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h) Uso de estimativas – A preparação das Demonstrações Financeiras, incluem estimativas e premissas, com a mensuração de provisões para perdas com operações de crédito, estimativas de útil dos bens, provisão para contingências e outras provisões. Os resultados efetivos podem ser diferentes daquelas estimativas ou premissas;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i) Caixa e equivalentes de caixa – Para fins das Demonstrações Financeiras correspondem aos saldos de disponibilidade (Caixa sede e contas bancárias) e aplicações financeiras de liquidez imediata;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j) Contas a receber operacional – São reconhecidos pelo valor nominal contratual referente venda de loteamentos em períodos anteriores. Na geração de caixa pelo recebimento em atraso, os juros e correções são classificados como receita financeira. Estima-se que os saldos das contas a receber estejam próximos de seus valores justos de mercado;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k) Provisão para Devedores Duvidosos - Foram constituídas provisões para devedores duvidosos sobre os créditos vencidos acima de 180 dias, em atenção as normas contábeis a estes tipos e operações;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l) Despesas Antecipadas</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7"/>
          <w:szCs w:val="27"/>
          <w:lang w:eastAsia="pt-BR"/>
        </w:rPr>
        <w:t>- objetivando uma proteção mais abrangente de seus bens, contratação em andamento de Seguro Predial conforme processo 202500031009842.</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m) Demonstrações do fluxo de caixa</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7"/>
          <w:szCs w:val="27"/>
          <w:lang w:eastAsia="pt-BR"/>
        </w:rPr>
        <w:t>- DFC – A Demonstração do Fluxo de Caixa foi elaborada em conformidade com a Resolução CFC nº1.152/2009, que aprovou a NBC TG 13 e também com a Resolução/CFC Nº 1.296/10, que aprovou a NBC T 03 DEMONSTRAÇÃO DO FLUXO DE CAIXA. O Método na elaboração do Fluxo de Caixa que a Entidade optou foi o INDIRETO;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n) Provisões para demandas judiciais – A AGEHAB é parte em vários processos legais, os quais incluem, entre outros, demandas relacionadas a processos trabalhistas, cíveis, fiscais. É constituído provisões referentes a processos judiciais classificados como Passivo Provável.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4.3.3. Política de Contabilidade Adotada para Subvenção Governamental da Agência Goiana de Habitação S/A, com detalhamento no item 23.2.2 desta Nota Explicativa.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4.3.3.1. Por meio do documento (</w:t>
      </w:r>
      <w:hyperlink r:id="rId6" w:tgtFrame="_blank" w:history="1">
        <w:r w:rsidRPr="003807ED">
          <w:rPr>
            <w:rFonts w:ascii="Calibri" w:eastAsia="Times New Roman" w:hAnsi="Calibri" w:cs="Calibri"/>
            <w:color w:val="0000FF"/>
            <w:sz w:val="27"/>
            <w:szCs w:val="27"/>
            <w:u w:val="single"/>
            <w:lang w:eastAsia="pt-BR"/>
          </w:rPr>
          <w:t>76228986</w:t>
        </w:r>
      </w:hyperlink>
      <w:r w:rsidRPr="003807ED">
        <w:rPr>
          <w:rFonts w:ascii="Calibri" w:eastAsia="Times New Roman" w:hAnsi="Calibri" w:cs="Calibri"/>
          <w:color w:val="000000"/>
          <w:sz w:val="27"/>
          <w:szCs w:val="27"/>
          <w:lang w:eastAsia="pt-BR"/>
        </w:rPr>
        <w:t>) processo 202500031000850 foi elaborado a Política de Contabilidade Adotada para Subvenção Governamental da Agência Goiana de Habitação S/A tendo como alcance:</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1. ALCANCE</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1.1. Esta política dever ser aplicada aos fatos contábeis relativos aos ingressos financeiros oriundos do tesouro do Estado de Goiás e outras entidades para manutenção dos Programas Habitacionais administrados pela Agência Goiana de Habitação S/A e manutenção da estrutura administrativa no âmbito da Contabilidade Societária.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4.3.3.2. Considerando análise da Procuradoria Jurídica através do PARECER JURÍDICO AGEHAB/PJ-11798 Nº 471/2025 (</w:t>
      </w:r>
      <w:hyperlink r:id="rId7" w:tgtFrame="_blank" w:history="1">
        <w:r w:rsidRPr="003807ED">
          <w:rPr>
            <w:rFonts w:ascii="Calibri" w:eastAsia="Times New Roman" w:hAnsi="Calibri" w:cs="Calibri"/>
            <w:color w:val="0000FF"/>
            <w:sz w:val="27"/>
            <w:szCs w:val="27"/>
            <w:u w:val="single"/>
            <w:lang w:eastAsia="pt-BR"/>
          </w:rPr>
          <w:t>76945575</w:t>
        </w:r>
      </w:hyperlink>
      <w:r w:rsidRPr="003807ED">
        <w:rPr>
          <w:rFonts w:ascii="Calibri" w:eastAsia="Times New Roman" w:hAnsi="Calibri" w:cs="Calibri"/>
          <w:color w:val="000000"/>
          <w:sz w:val="27"/>
          <w:szCs w:val="27"/>
          <w:lang w:eastAsia="pt-BR"/>
        </w:rPr>
        <w:t>) e  a aprovação por meio da Deliberação da Diretoria Executiva 225/2025 – AGEHAB (</w:t>
      </w:r>
      <w:hyperlink r:id="rId8" w:tgtFrame="_blank" w:history="1">
        <w:r w:rsidRPr="003807ED">
          <w:rPr>
            <w:rFonts w:ascii="Calibri" w:eastAsia="Times New Roman" w:hAnsi="Calibri" w:cs="Calibri"/>
            <w:color w:val="0000FF"/>
            <w:sz w:val="27"/>
            <w:szCs w:val="27"/>
            <w:u w:val="single"/>
            <w:lang w:eastAsia="pt-BR"/>
          </w:rPr>
          <w:t>78935494</w:t>
        </w:r>
      </w:hyperlink>
      <w:r w:rsidRPr="003807ED">
        <w:rPr>
          <w:rFonts w:ascii="Calibri" w:eastAsia="Times New Roman" w:hAnsi="Calibri" w:cs="Calibri"/>
          <w:color w:val="000000"/>
          <w:sz w:val="27"/>
          <w:szCs w:val="27"/>
          <w:lang w:eastAsia="pt-BR"/>
        </w:rPr>
        <w:t>) e Resolução 13/2025 (</w:t>
      </w:r>
      <w:hyperlink r:id="rId9" w:tgtFrame="_blank" w:history="1">
        <w:r w:rsidRPr="003807ED">
          <w:rPr>
            <w:rFonts w:ascii="Calibri" w:eastAsia="Times New Roman" w:hAnsi="Calibri" w:cs="Calibri"/>
            <w:color w:val="0000FF"/>
            <w:sz w:val="27"/>
            <w:szCs w:val="27"/>
            <w:u w:val="single"/>
            <w:lang w:eastAsia="pt-BR"/>
          </w:rPr>
          <w:t>82810561</w:t>
        </w:r>
      </w:hyperlink>
      <w:r w:rsidRPr="003807ED">
        <w:rPr>
          <w:rFonts w:ascii="Calibri" w:eastAsia="Times New Roman" w:hAnsi="Calibri" w:cs="Calibri"/>
          <w:color w:val="000000"/>
          <w:sz w:val="27"/>
          <w:szCs w:val="27"/>
          <w:lang w:eastAsia="pt-BR"/>
        </w:rPr>
        <w:t>).</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                                                                                                                                                                                                                            </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BALANÇO PATRIMONIAL (BP)  </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ATIVO</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ATIVO CIRCULANTE</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xml:space="preserve">5. Disponibilidades e Títulos Valores </w:t>
      </w:r>
      <w:proofErr w:type="gramStart"/>
      <w:r w:rsidRPr="003807ED">
        <w:rPr>
          <w:rFonts w:ascii="Calibri" w:eastAsia="Times New Roman" w:hAnsi="Calibri" w:cs="Calibri"/>
          <w:b/>
          <w:bCs/>
          <w:caps/>
          <w:color w:val="000000"/>
          <w:sz w:val="26"/>
          <w:szCs w:val="26"/>
          <w:lang w:eastAsia="pt-BR"/>
        </w:rPr>
        <w:t>Mobiliários,  totalizando</w:t>
      </w:r>
      <w:proofErr w:type="gramEnd"/>
      <w:r w:rsidRPr="003807ED">
        <w:rPr>
          <w:rFonts w:ascii="Calibri" w:eastAsia="Times New Roman" w:hAnsi="Calibri" w:cs="Calibri"/>
          <w:b/>
          <w:bCs/>
          <w:caps/>
          <w:color w:val="000000"/>
          <w:sz w:val="26"/>
          <w:szCs w:val="26"/>
          <w:lang w:eastAsia="pt-BR"/>
        </w:rPr>
        <w:t xml:space="preserve"> R$ 276.313.316,15 (duzentos e setenta e seis milhões, trezentos e treze mil trezentos e dezesseis reais e quinze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5.1. O caixa e equivalentes de caixa são compostos pelas contas bancárias, pela conta única da unidade orçamentária da AGEHAB e por aplicações financeiras de liquidez imediata com expectativa de utilização por parte da Companhia no decurso de 12 meses e que apresentam risco insignificante de mudança de valor justo.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5.2. Cumprindo com a LEI COMPLEMENTAR Nº 121, DE 21 DE DEZEMBRO DE 2015, </w:t>
      </w:r>
      <w:r w:rsidRPr="003807ED">
        <w:rPr>
          <w:rFonts w:ascii="Calibri" w:eastAsia="Times New Roman" w:hAnsi="Calibri" w:cs="Calibri"/>
          <w:b/>
          <w:bCs/>
          <w:color w:val="000000"/>
          <w:sz w:val="27"/>
          <w:szCs w:val="27"/>
          <w:lang w:eastAsia="pt-BR"/>
        </w:rPr>
        <w:t>em março de 2022</w:t>
      </w:r>
      <w:r w:rsidRPr="003807ED">
        <w:rPr>
          <w:rFonts w:ascii="Calibri" w:eastAsia="Times New Roman" w:hAnsi="Calibri" w:cs="Calibri"/>
          <w:color w:val="000000"/>
          <w:sz w:val="27"/>
          <w:szCs w:val="27"/>
          <w:lang w:eastAsia="pt-BR"/>
        </w:rPr>
        <w:t>, a AGEHAB realizou as transferências dos saldos financeiros de seus recursos próprios, de subvenção governamental para custeio e subvenção governamental para cumprimento dos programas habitacionais e de alienações de imóveis, como instrumento de gerenciamento dos recursos financeiros do Estado, sob a coordenação da Secretaria da Fazenda, para o Sistema da Conta Única do Tesouro Estadual, em cumprimento ao princípio de unidade de tesouraria, previsto no art. 56 da Lei federal nº 4.320, de 17 de março de 1964.</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5.3. As contas bancárias em nome da AGEHAB, estão compostas da seguinte forma:</w:t>
      </w:r>
    </w:p>
    <w:tbl>
      <w:tblPr>
        <w:tblW w:w="12785"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279"/>
        <w:gridCol w:w="3253"/>
        <w:gridCol w:w="3253"/>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Disponibilidades Financeiras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Caixa e Equivalente de Caixa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990.511,46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124.483,78</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Conta Única do Tesouro Estadual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221.281.850,53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160.684.168,90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Títulos e Valores Mobiliários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54.040.954,16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11.582.047,59</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276.313.316,15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172.390.700,27</w:t>
            </w:r>
          </w:p>
        </w:tc>
      </w:tr>
    </w:tbl>
    <w:p w:rsidR="003807ED" w:rsidRPr="003807ED" w:rsidRDefault="003807ED" w:rsidP="003807ED">
      <w:pPr>
        <w:spacing w:after="0" w:line="240" w:lineRule="auto"/>
        <w:rPr>
          <w:rFonts w:ascii="Times New Roman" w:eastAsia="Times New Roman" w:hAnsi="Times New Roman" w:cs="Times New Roman"/>
          <w:vanish/>
          <w:sz w:val="24"/>
          <w:szCs w:val="24"/>
          <w:lang w:eastAsia="pt-BR"/>
        </w:rPr>
      </w:pPr>
    </w:p>
    <w:tbl>
      <w:tblPr>
        <w:tblW w:w="12822"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5204"/>
        <w:gridCol w:w="3809"/>
        <w:gridCol w:w="3809"/>
      </w:tblGrid>
      <w:tr w:rsidR="003807ED" w:rsidRPr="003807ED" w:rsidTr="00691604">
        <w:trPr>
          <w:trHeight w:val="612"/>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Fontes Orçamentárias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691604">
        <w:trPr>
          <w:trHeight w:val="612"/>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Recurso Arrecadado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1.830.917,23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331.606,29</w:t>
            </w:r>
          </w:p>
        </w:tc>
      </w:tr>
      <w:tr w:rsidR="003807ED" w:rsidRPr="003807ED" w:rsidTr="00691604">
        <w:trPr>
          <w:trHeight w:val="612"/>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Convênios Federais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6.021.613,71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5.347.561,61</w:t>
            </w:r>
          </w:p>
        </w:tc>
      </w:tr>
      <w:tr w:rsidR="003807ED" w:rsidRPr="003807ED" w:rsidTr="00691604">
        <w:trPr>
          <w:trHeight w:val="612"/>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Recurso Ordinário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7.542.246,90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6.528.498,73</w:t>
            </w:r>
          </w:p>
        </w:tc>
      </w:tr>
      <w:tr w:rsidR="003807ED" w:rsidRPr="003807ED" w:rsidTr="00691604">
        <w:trPr>
          <w:trHeight w:val="612"/>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Alienação de Imóveis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16.618.986,70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6.791.192,02</w:t>
            </w:r>
          </w:p>
        </w:tc>
      </w:tr>
      <w:tr w:rsidR="003807ED" w:rsidRPr="003807ED" w:rsidTr="00691604">
        <w:trPr>
          <w:trHeight w:val="612"/>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Protege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244.299.551,61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153.391.841,62</w:t>
            </w:r>
          </w:p>
        </w:tc>
      </w:tr>
      <w:tr w:rsidR="003807ED" w:rsidRPr="003807ED" w:rsidTr="00691604">
        <w:trPr>
          <w:trHeight w:val="612"/>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276.313.316,15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172.390.700,27</w:t>
            </w:r>
          </w:p>
        </w:tc>
      </w:tr>
    </w:tbl>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6. Contas a receber, totalizando R$ 413.343,64 (quatrocentos e treze mil trezentos e quarenta e três reais e sessenta e quatro centavos)</w:t>
      </w:r>
    </w:p>
    <w:tbl>
      <w:tblPr>
        <w:tblW w:w="13121"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9599"/>
        <w:gridCol w:w="1761"/>
        <w:gridCol w:w="1761"/>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CONTAS A RECEBER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Prestações a Receber Conjuntos e Loteamentos - Fonte Alienação de Bens (6.1)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670.193,70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639.532,93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Secretaria de Estado da Economia - Fonte Recurso Arrecadado  (6.2)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383.920,76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351.851,00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Perdas com créditos de Liquidação Duvidosa (6.3)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-640.770,82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-599.984,03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413.343,64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391.399,90</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6.1. Refere-se às Prestações a receber dos bens imóveis comercializados no Conjunto Habitacional Parque Atheneu, Acalanto, Vila Sol Dourado e Vera Cruz, conforme Ata AGE nº 75ª de 29/01/2010.</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proofErr w:type="gramStart"/>
      <w:r w:rsidRPr="003807ED">
        <w:rPr>
          <w:rFonts w:ascii="Calibri" w:eastAsia="Times New Roman" w:hAnsi="Calibri" w:cs="Calibri"/>
          <w:color w:val="000000"/>
          <w:sz w:val="27"/>
          <w:szCs w:val="27"/>
          <w:lang w:eastAsia="pt-BR"/>
        </w:rPr>
        <w:t>a) As</w:t>
      </w:r>
      <w:proofErr w:type="gramEnd"/>
      <w:r w:rsidRPr="003807ED">
        <w:rPr>
          <w:rFonts w:ascii="Calibri" w:eastAsia="Times New Roman" w:hAnsi="Calibri" w:cs="Calibri"/>
          <w:color w:val="000000"/>
          <w:sz w:val="27"/>
          <w:szCs w:val="27"/>
          <w:lang w:eastAsia="pt-BR"/>
        </w:rPr>
        <w:t xml:space="preserve"> amortizações das parcelas são calculadas pelo Sistema Tabela </w:t>
      </w:r>
      <w:proofErr w:type="spellStart"/>
      <w:r w:rsidRPr="003807ED">
        <w:rPr>
          <w:rFonts w:ascii="Calibri" w:eastAsia="Times New Roman" w:hAnsi="Calibri" w:cs="Calibri"/>
          <w:color w:val="000000"/>
          <w:sz w:val="27"/>
          <w:szCs w:val="27"/>
          <w:lang w:eastAsia="pt-BR"/>
        </w:rPr>
        <w:t>Price</w:t>
      </w:r>
      <w:proofErr w:type="spellEnd"/>
      <w:r w:rsidRPr="003807ED">
        <w:rPr>
          <w:rFonts w:ascii="Calibri" w:eastAsia="Times New Roman" w:hAnsi="Calibri" w:cs="Calibri"/>
          <w:color w:val="000000"/>
          <w:sz w:val="27"/>
          <w:szCs w:val="27"/>
          <w:lang w:eastAsia="pt-BR"/>
        </w:rPr>
        <w:t>.</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proofErr w:type="gramStart"/>
      <w:r w:rsidRPr="003807ED">
        <w:rPr>
          <w:rFonts w:ascii="Calibri" w:eastAsia="Times New Roman" w:hAnsi="Calibri" w:cs="Calibri"/>
          <w:color w:val="000000"/>
          <w:sz w:val="27"/>
          <w:szCs w:val="27"/>
          <w:lang w:eastAsia="pt-BR"/>
        </w:rPr>
        <w:t>b)</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7"/>
          <w:szCs w:val="27"/>
          <w:lang w:eastAsia="pt-BR"/>
        </w:rPr>
        <w:t>Os</w:t>
      </w:r>
      <w:proofErr w:type="gramEnd"/>
      <w:r w:rsidRPr="003807ED">
        <w:rPr>
          <w:rFonts w:ascii="Calibri" w:eastAsia="Times New Roman" w:hAnsi="Calibri" w:cs="Calibri"/>
          <w:color w:val="000000"/>
          <w:sz w:val="27"/>
          <w:szCs w:val="27"/>
          <w:lang w:eastAsia="pt-BR"/>
        </w:rPr>
        <w:t xml:space="preserve"> juros incidentes sobre as parcelas do preço, serão calculadas sobre o saldo devedor na razão e 0,5% (zero vírgula cinco por cento) ao mês.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b.1 A atualização monetária sobre o saldo devedor, será sempre calculada mensalmente, tomando por base o índice de reajuste da Taxa Referencial (TR), ou outro que venha substituí-lo, por decisão governamental.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b.2 O total da dívida vencida, atualizada monetariamente até o próximo aniversário do contrato, acrescida de ônus adicional à taxa que vigorar na data do pagamento, de acordo com regulamentação do BACEN, sendo juros contratuais de 5% a 6%.</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Conforme nota explicativa 12.1.</w:t>
      </w:r>
    </w:p>
    <w:tbl>
      <w:tblPr>
        <w:tblW w:w="14175"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1795"/>
        <w:gridCol w:w="2380"/>
      </w:tblGrid>
      <w:tr w:rsidR="003807ED" w:rsidRPr="003807ED" w:rsidTr="00691604">
        <w:trPr>
          <w:trHeight w:val="249"/>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Contas a Receber</w:t>
            </w:r>
          </w:p>
        </w:tc>
      </w:tr>
      <w:tr w:rsidR="003807ED" w:rsidRPr="003807ED" w:rsidTr="00691604">
        <w:trPr>
          <w:trHeight w:val="249"/>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Prestações a Receber Conjuntos e Loteamentos (Ativo Circulante)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670.193,70</w:t>
            </w:r>
          </w:p>
        </w:tc>
      </w:tr>
      <w:tr w:rsidR="003807ED" w:rsidRPr="003807ED" w:rsidTr="00691604">
        <w:trPr>
          <w:trHeight w:val="249"/>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Prestações a Receber Conjuntos e Loteamentos (Ativo Longo Prazo)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51.327,44</w:t>
            </w:r>
          </w:p>
        </w:tc>
      </w:tr>
      <w:tr w:rsidR="003807ED" w:rsidRPr="003807ED" w:rsidTr="00691604">
        <w:trPr>
          <w:trHeight w:val="249"/>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721.521,14</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6.2.</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7"/>
          <w:szCs w:val="27"/>
          <w:lang w:eastAsia="pt-BR"/>
        </w:rPr>
        <w:t>Refere-se Contrato de Prestação de Serviço de Gestão da Carteira Habitacional do Estado de Goiás, Nota Fiscal nº 104 emitida em 29/12/2025 para Secretaria de Estado da Economia no valor líquido de R$ 383.920,76 (trezentos e oitenta e três mil novecentos e vinte reais e setenta e seis centavos) recebida em 19/01/2026 por meio da Ordem de Pagamento n.2025.1704.005.00005.030 conforme demonstrado no processo 202400004105429, documento (</w:t>
      </w:r>
      <w:hyperlink r:id="rId10" w:tgtFrame="_blank" w:history="1">
        <w:r w:rsidRPr="003807ED">
          <w:rPr>
            <w:rFonts w:ascii="Calibri" w:eastAsia="Times New Roman" w:hAnsi="Calibri" w:cs="Calibri"/>
            <w:color w:val="0000FF"/>
            <w:sz w:val="27"/>
            <w:szCs w:val="27"/>
            <w:u w:val="single"/>
            <w:lang w:eastAsia="pt-BR"/>
          </w:rPr>
          <w:t>85540188</w:t>
        </w:r>
      </w:hyperlink>
      <w:r w:rsidRPr="003807ED">
        <w:rPr>
          <w:rFonts w:ascii="Calibri" w:eastAsia="Times New Roman" w:hAnsi="Calibri" w:cs="Calibri"/>
          <w:color w:val="000000"/>
          <w:sz w:val="27"/>
          <w:szCs w:val="27"/>
          <w:lang w:eastAsia="pt-BR"/>
        </w:rPr>
        <w:t>).</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6.3. A provisão para perdas com crédito de liquidação duvidosa, referente aos títulos vencidos a mais de 180 dias, utiliza-se o método fiscal.</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Saldo em 31/12/2024 = R$ 599.984,03</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Provisões realizadas = R$ 42.027,00</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Reversões de Provisões = R$ 1.240,21</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Saldo em 31/12/2025 = R$ 640.770,82</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firstLine="1699"/>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7. Adiantamentos Concedidos a Obras Administradas, totalizando R$ 7.644.273,87 (sete milhões, seiscentos e quarenta e quatro mil duzentos e setenta e três reais e oitenta e sete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7.1. Os adiantamentos concedidos </w:t>
      </w:r>
      <w:proofErr w:type="gramStart"/>
      <w:r w:rsidRPr="003807ED">
        <w:rPr>
          <w:rFonts w:ascii="Calibri" w:eastAsia="Times New Roman" w:hAnsi="Calibri" w:cs="Calibri"/>
          <w:color w:val="000000"/>
          <w:sz w:val="27"/>
          <w:szCs w:val="27"/>
          <w:lang w:eastAsia="pt-BR"/>
        </w:rPr>
        <w:t>à</w:t>
      </w:r>
      <w:proofErr w:type="gramEnd"/>
      <w:r w:rsidRPr="003807ED">
        <w:rPr>
          <w:rFonts w:ascii="Calibri" w:eastAsia="Times New Roman" w:hAnsi="Calibri" w:cs="Calibri"/>
          <w:color w:val="000000"/>
          <w:sz w:val="27"/>
          <w:szCs w:val="27"/>
          <w:lang w:eastAsia="pt-BR"/>
        </w:rPr>
        <w:t xml:space="preserve"> obras administradas, são oriundos de repasse efetuados através de recursos próprios (AGEHAB) para as contas correntes das obras vinculadas a convênio CEF/FGTS e obras diretas para subsidiar serviços, materiais, salários, impostos e outros custos aplicados na construção das unidades habitacionais.</w:t>
      </w:r>
    </w:p>
    <w:tbl>
      <w:tblPr>
        <w:tblW w:w="14048"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724"/>
        <w:gridCol w:w="3162"/>
        <w:gridCol w:w="3162"/>
      </w:tblGrid>
      <w:tr w:rsidR="003807ED" w:rsidRPr="003807ED" w:rsidTr="00691604">
        <w:trPr>
          <w:trHeight w:val="250"/>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Adiantamentos Concedidos a Obras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691604">
        <w:trPr>
          <w:trHeight w:val="25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João Paulo II - 2ª Etapa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7.418.857,36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7.418.857,36</w:t>
            </w:r>
          </w:p>
        </w:tc>
      </w:tr>
      <w:tr w:rsidR="003807ED" w:rsidRPr="003807ED" w:rsidTr="00691604">
        <w:trPr>
          <w:trHeight w:val="25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Real Conquista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225.416,51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225.416,51</w:t>
            </w:r>
          </w:p>
        </w:tc>
      </w:tr>
      <w:tr w:rsidR="003807ED" w:rsidRPr="003807ED" w:rsidTr="00691604">
        <w:trPr>
          <w:trHeight w:val="25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Damianópolis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929.214,59</w:t>
            </w:r>
          </w:p>
        </w:tc>
      </w:tr>
      <w:tr w:rsidR="003807ED" w:rsidRPr="003807ED" w:rsidTr="00691604">
        <w:trPr>
          <w:trHeight w:val="25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7.644.273,87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8.573.488,46</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7.2. Os valores contabilizados em Adiantamento de Obras são oriundos da utilização do recurso próprio da AGEHAB em períodos anteriores (Integralização de Capital) para pagamento das medições para não ocorrer atrasos, até a liberação do RECURSO/FGTS.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7.</w:t>
      </w:r>
      <w:proofErr w:type="gramStart"/>
      <w:r w:rsidRPr="003807ED">
        <w:rPr>
          <w:rFonts w:ascii="Calibri" w:eastAsia="Times New Roman" w:hAnsi="Calibri" w:cs="Calibri"/>
          <w:color w:val="000000"/>
          <w:sz w:val="27"/>
          <w:szCs w:val="27"/>
          <w:lang w:eastAsia="pt-BR"/>
        </w:rPr>
        <w:t>3 .Considerando</w:t>
      </w:r>
      <w:proofErr w:type="gramEnd"/>
      <w:r w:rsidRPr="003807ED">
        <w:rPr>
          <w:rFonts w:ascii="Calibri" w:eastAsia="Times New Roman" w:hAnsi="Calibri" w:cs="Calibri"/>
          <w:color w:val="000000"/>
          <w:sz w:val="27"/>
          <w:szCs w:val="27"/>
          <w:lang w:eastAsia="pt-BR"/>
        </w:rPr>
        <w:t xml:space="preserve"> que nos termos de Cooperação e Parceira CAIXA menciona que na clausula terceira – DOS RECURSOS – Os recursos a serem utilizados para consecução do objeto deste Termo são provenientes de linhas de financiamento com recursos do FGTS- Fundo de Garantia por Termo de Serviço e recursos próprios da Entidade Organizadora, a título de contrapartida, representados pelo aporte de recursos financeiros, bens e/ou serviços para produção de unidades habitacionais. A AGEHAB tem previsão legal para utilização do RECURSO PRÓPRIO para custear o término das obras, após do término definitivo das obras principalmente nos encerramentos das contas correntes, ocorrerá as devidas compensações das sobras dos saldos financeiros com os valores contabilizados em adiantamentos.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4"/>
          <w:szCs w:val="24"/>
          <w:lang w:eastAsia="pt-BR"/>
        </w:rPr>
        <w:t>7.4. No Exercício Social de 2025 houve o término documental referente construção das 50 (Cinquenta) unidades habitacionais no município de Damianópolis/Goiás Processo 202200031001603.</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firstLine="1699"/>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8. Antecipações a Empregados, totalizando R$ 437.076,33 (quatrocentos e trinta e sete mil e setenta e seis reais e trinta e três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8.1. Refere-se aos pagamentos ocorridos </w:t>
      </w:r>
      <w:r w:rsidRPr="003807ED">
        <w:rPr>
          <w:rFonts w:ascii="Calibri" w:eastAsia="Times New Roman" w:hAnsi="Calibri" w:cs="Calibri"/>
          <w:b/>
          <w:bCs/>
          <w:color w:val="000000"/>
          <w:sz w:val="27"/>
          <w:szCs w:val="27"/>
          <w:lang w:eastAsia="pt-BR"/>
        </w:rPr>
        <w:t>até 31/12/2025</w:t>
      </w:r>
      <w:r w:rsidRPr="003807ED">
        <w:rPr>
          <w:rFonts w:ascii="Calibri" w:eastAsia="Times New Roman" w:hAnsi="Calibri" w:cs="Calibri"/>
          <w:color w:val="000000"/>
          <w:sz w:val="27"/>
          <w:szCs w:val="27"/>
          <w:lang w:eastAsia="pt-BR"/>
        </w:rPr>
        <w:t> de antecipação de férias conforme legislação trabalhista, cujos os respectivos descontos ocorrerão nos períodos subsequentes, devidamente controlados.</w:t>
      </w:r>
    </w:p>
    <w:tbl>
      <w:tblPr>
        <w:tblW w:w="2160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58"/>
        <w:gridCol w:w="5271"/>
        <w:gridCol w:w="5271"/>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Antecipações a Empregados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Férias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437.076,33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399.128,31</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437.076,33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399.128,31</w:t>
            </w:r>
          </w:p>
        </w:tc>
      </w:tr>
    </w:tbl>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firstLine="1699"/>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9. Tributos a Recuperar, totalizando R$ 502.821,86 (quinhentos e dois mil oitocentos e vinte e um reais e oitenta e seis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9.1. Refere-se ao Imposto de Renda retido sobre os rendimentos financeiros das Contas Poupança/Contas de Investimento em nome da Agência Goiana de Habitação S/A e Imposto de Renda Retido das notas fiscais emitidas para Secretaria de Estado da Economia referente ao serviço prestado da administração da Carteira Imobiliária do Estado de Goiás.</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561"/>
        <w:gridCol w:w="4246"/>
        <w:gridCol w:w="4246"/>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Tributos a Recuperar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IRRF Sobre Rendimentos Aplicados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261.070,60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169.585,66</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IRRF Sobre Serviço Prestados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241.751,26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224.685,36</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IRRF sobre Férias ( c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48.793,47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502.821,86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443.064,49</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 Refere-se Imposto de Renda Retido na Fonte (IRRF) sobre os rendimentos financeiros de valores aplicados por fonte orçamentária.</w:t>
      </w:r>
    </w:p>
    <w:tbl>
      <w:tblPr>
        <w:tblW w:w="15502"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275"/>
        <w:gridCol w:w="4227"/>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IRRF sobre Rendimentos Financeiros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Valor</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Fonte Alienação de Imóveis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173.982,60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Fonte Convênios Federais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87.088,00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261.070,60</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 Refere-se ao Imposto de Renda Retido na Fonte (IRRF) sobre Serviço Prestado da gestão da Carteira Habitacional do Estado de Goiás.</w:t>
      </w:r>
    </w:p>
    <w:tbl>
      <w:tblPr>
        <w:tblW w:w="19342"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922"/>
        <w:gridCol w:w="7739"/>
        <w:gridCol w:w="5681"/>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Data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Documento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Valor</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29/01/2025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Nota Fiscal 6948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18.723,78</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28/02/2025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Nota Fiscal 6975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18.723,78</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28/03/2025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Nota Fiscal 6996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20.430,37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29/04/2025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Nota Fiscal 7027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20.430,37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29/05/2025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Nota Fiscal 7060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20.430,37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30/06/2025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Nota Fiscal 7092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20.430,37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29/07/2025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Nota Fiscal 7120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20.430,37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29/08/2025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Nota Fiscal 7161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20.430,37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29/09/2025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Nota Fiscal 7187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20.430,37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29/10/2025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Nota Fiscal 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20.430,37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28/11/2025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Nota Fiscal 68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20.430,37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29/12/2025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Nota Fiscal 104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20.430,37</w:t>
            </w:r>
          </w:p>
        </w:tc>
      </w:tr>
      <w:tr w:rsidR="003807ED" w:rsidRPr="003807ED" w:rsidTr="003807ED">
        <w:trPr>
          <w:trHeight w:val="255"/>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241.751,26</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c) Refere-se ao Imposto de Renda sobre férias recolhidos na competência do pagamento e serão descontados dos servidores nos respectivos períodos de gozo.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proofErr w:type="gramStart"/>
      <w:r w:rsidRPr="003807ED">
        <w:rPr>
          <w:rFonts w:ascii="Calibri" w:eastAsia="Times New Roman" w:hAnsi="Calibri" w:cs="Calibri"/>
          <w:color w:val="000000"/>
          <w:sz w:val="27"/>
          <w:szCs w:val="27"/>
          <w:lang w:eastAsia="pt-BR"/>
        </w:rPr>
        <w:t>d) Os</w:t>
      </w:r>
      <w:proofErr w:type="gramEnd"/>
      <w:r w:rsidRPr="003807ED">
        <w:rPr>
          <w:rFonts w:ascii="Calibri" w:eastAsia="Times New Roman" w:hAnsi="Calibri" w:cs="Calibri"/>
          <w:color w:val="000000"/>
          <w:sz w:val="27"/>
          <w:szCs w:val="27"/>
          <w:lang w:eastAsia="pt-BR"/>
        </w:rPr>
        <w:t xml:space="preserve"> valores de Imposto Renda Retido na Fonte serão objeto de solicitação de restituição junto à Receita Federal do Brasil no Exercício Social de 2026.</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10. Despesas Antecipadas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10.1. Objetivando uma proteção mais abrangente de seus </w:t>
      </w:r>
      <w:proofErr w:type="gramStart"/>
      <w:r w:rsidRPr="003807ED">
        <w:rPr>
          <w:rFonts w:ascii="Calibri" w:eastAsia="Times New Roman" w:hAnsi="Calibri" w:cs="Calibri"/>
          <w:color w:val="000000"/>
          <w:sz w:val="27"/>
          <w:szCs w:val="27"/>
          <w:lang w:eastAsia="pt-BR"/>
        </w:rPr>
        <w:t>bens,  em</w:t>
      </w:r>
      <w:proofErr w:type="gramEnd"/>
      <w:r w:rsidRPr="003807ED">
        <w:rPr>
          <w:rFonts w:ascii="Calibri" w:eastAsia="Times New Roman" w:hAnsi="Calibri" w:cs="Calibri"/>
          <w:color w:val="000000"/>
          <w:sz w:val="27"/>
          <w:szCs w:val="27"/>
          <w:lang w:eastAsia="pt-BR"/>
        </w:rPr>
        <w:t xml:space="preserve"> andamento processo de contratação Seguro Predial para bens imóveis da Agência Goiana de Habitação S/A, processo 202500031009842.</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9219"/>
        <w:gridCol w:w="5417"/>
        <w:gridCol w:w="5417"/>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Despesas Antecipadas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Seguro a Apropriar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8.988,41</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8.988,41</w:t>
            </w:r>
          </w:p>
        </w:tc>
      </w:tr>
    </w:tbl>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11. Estoque de bens do Almoxarifado, totalizando R$ 96.078,88 (noventa e seis mil e setenta e oito reais e oitenta e oito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11.1. Referem-se aos valores em estoque de materiais de escritório, materiais de limpeza, materiais a tecnologia da informação, materiais de copa e cozinha e gêneros alimentícios. São avaliados ao custo médio de aquisição.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11.2. Inventário realizado pela comissão de inventário de Bens do Almoxarifado em 18/12/2025 documento (</w:t>
      </w:r>
      <w:hyperlink r:id="rId11" w:tgtFrame="_blank" w:history="1">
        <w:r w:rsidRPr="003807ED">
          <w:rPr>
            <w:rFonts w:ascii="Calibri" w:eastAsia="Times New Roman" w:hAnsi="Calibri" w:cs="Calibri"/>
            <w:color w:val="0000FF"/>
            <w:sz w:val="27"/>
            <w:szCs w:val="27"/>
            <w:u w:val="single"/>
            <w:lang w:eastAsia="pt-BR"/>
          </w:rPr>
          <w:t>83578851</w:t>
        </w:r>
      </w:hyperlink>
      <w:r w:rsidRPr="003807ED">
        <w:rPr>
          <w:rFonts w:ascii="Calibri" w:eastAsia="Times New Roman" w:hAnsi="Calibri" w:cs="Calibri"/>
          <w:color w:val="000000"/>
          <w:sz w:val="27"/>
          <w:szCs w:val="27"/>
          <w:lang w:eastAsia="pt-BR"/>
        </w:rPr>
        <w:t>) </w:t>
      </w:r>
      <w:r w:rsidRPr="003807ED">
        <w:rPr>
          <w:rFonts w:ascii="Calibri" w:eastAsia="Times New Roman" w:hAnsi="Calibri" w:cs="Calibri"/>
          <w:color w:val="000000"/>
          <w:sz w:val="24"/>
          <w:szCs w:val="24"/>
          <w:lang w:eastAsia="pt-BR"/>
        </w:rPr>
        <w:t>Deliberação da Diretoria Executiva 271/2025 - AGEHAB (</w:t>
      </w:r>
      <w:hyperlink r:id="rId12" w:tgtFrame="_blank" w:history="1">
        <w:r w:rsidRPr="003807ED">
          <w:rPr>
            <w:rFonts w:ascii="Calibri" w:eastAsia="Times New Roman" w:hAnsi="Calibri" w:cs="Calibri"/>
            <w:color w:val="0000FF"/>
            <w:sz w:val="27"/>
            <w:szCs w:val="27"/>
            <w:u w:val="single"/>
            <w:lang w:eastAsia="pt-BR"/>
          </w:rPr>
          <w:t>81543957</w:t>
        </w:r>
      </w:hyperlink>
      <w:r w:rsidRPr="003807ED">
        <w:rPr>
          <w:rFonts w:ascii="Calibri" w:eastAsia="Times New Roman" w:hAnsi="Calibri" w:cs="Calibri"/>
          <w:color w:val="000000"/>
          <w:sz w:val="24"/>
          <w:szCs w:val="24"/>
          <w:lang w:eastAsia="pt-BR"/>
        </w:rPr>
        <w:t>) Processo 202500031009428.</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11.3. Não é realizado provisão para perdas, representam itens de pequenos valores, com alta rotatividade e não há obsolescência.</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243"/>
        <w:gridCol w:w="4405"/>
        <w:gridCol w:w="4405"/>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Estoques de Bens do Almoxarifado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Almoxarifado - sede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96.078,88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105.608,83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96.078,88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105.608,83</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tbl>
      <w:tblPr>
        <w:tblW w:w="15502"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2353"/>
        <w:gridCol w:w="3149"/>
      </w:tblGrid>
      <w:tr w:rsidR="003807ED" w:rsidRPr="003807ED" w:rsidTr="003807ED">
        <w:trPr>
          <w:trHeight w:val="255"/>
          <w:tblHeader/>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Material de Limpeza e Produtos de Higienização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42.039,80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Material para cozinha, refeitórios e afins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8.763,40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Gêneros Alimentícios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16.051,95</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Material de Expediente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29.223,73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96.078,88</w:t>
            </w:r>
          </w:p>
        </w:tc>
      </w:tr>
    </w:tbl>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ATIVO NÃO-CIRCULANTE</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12. Realizável a Longo Prazo</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12.1. Contas a Receber a Longo Prazo - Devedores por Vendas Compromissadas, totalizando R$ 51.327,44 (cinquenta e um mil trezentos e vinte e sete reais e quarenta e quatro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12.1.1. Refere-se a Prestações a receber dos bens imóveis comercializados no Conjunto Habitacional Parque Atheneu, Acalanto, Vila Sol Dourado e Vera Cruz, conforme Ata AGE nº 75ª de 29/01/2010, classificados no Ativo Não Circulante – Realizável a Longo Prazo.</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4385"/>
        <w:gridCol w:w="2834"/>
        <w:gridCol w:w="2834"/>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Contas a Receber - Devedores por Vendas Compromissadas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Prestações a receber Conjuntos e Loteamentos - Fonte Alienação de Bens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51.327,44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91.991,72</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51.327,44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91.991,72</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Conforme nota explicativa nº 06</w:t>
      </w:r>
    </w:p>
    <w:tbl>
      <w:tblPr>
        <w:tblW w:w="15502"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2899"/>
        <w:gridCol w:w="2603"/>
      </w:tblGrid>
      <w:tr w:rsidR="003807ED" w:rsidRPr="003807ED" w:rsidTr="003807ED">
        <w:trPr>
          <w:trHeight w:val="255"/>
          <w:tblHeader/>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Contas a Receber</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Prestações a Receber Conjuntos e Loteamentos (Ativo Circulante)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670.193,70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Prestações a Receber Conjuntos e Loteamentos (Ativo Longo Prazo)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51.327,44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721.521,14</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12.2. Devedores por Créditos Repassados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12.2.</w:t>
      </w:r>
      <w:proofErr w:type="gramStart"/>
      <w:r w:rsidRPr="003807ED">
        <w:rPr>
          <w:rFonts w:ascii="Calibri" w:eastAsia="Times New Roman" w:hAnsi="Calibri" w:cs="Calibri"/>
          <w:color w:val="000000"/>
          <w:sz w:val="27"/>
          <w:szCs w:val="27"/>
          <w:lang w:eastAsia="pt-BR"/>
        </w:rPr>
        <w:t>1.Crédito</w:t>
      </w:r>
      <w:proofErr w:type="gramEnd"/>
      <w:r w:rsidRPr="003807ED">
        <w:rPr>
          <w:rFonts w:ascii="Calibri" w:eastAsia="Times New Roman" w:hAnsi="Calibri" w:cs="Calibri"/>
          <w:color w:val="000000"/>
          <w:sz w:val="27"/>
          <w:szCs w:val="27"/>
          <w:lang w:eastAsia="pt-BR"/>
        </w:rPr>
        <w:t> com a Prefeitura de Anápolis atualizados pelo índice UPC (Unidade Padrão de Capital), refere-se aos valores repassados para construção de infraestrutura de conjunto habitacional Vila Formosa no município de Anápolis, contrato renegociado em 19/01/1973. </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3030"/>
        <w:gridCol w:w="3320"/>
        <w:gridCol w:w="3703"/>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Devedores por Créditos Repassados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Infra Estrutura de Conjuntos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6.862.253,88</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Provisão para perdas de Crédito de Liquidação Duvidosa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-6.862.253,88</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0,00</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 Considerando o DESPACHO Nº 764/2025/AGEHAB/PJ-11798(</w:t>
      </w:r>
      <w:hyperlink r:id="rId13" w:tgtFrame="_blank" w:history="1">
        <w:r w:rsidRPr="003807ED">
          <w:rPr>
            <w:rFonts w:ascii="Calibri" w:eastAsia="Times New Roman" w:hAnsi="Calibri" w:cs="Calibri"/>
            <w:color w:val="0000FF"/>
            <w:sz w:val="27"/>
            <w:szCs w:val="27"/>
            <w:u w:val="single"/>
            <w:lang w:eastAsia="pt-BR"/>
          </w:rPr>
          <w:t>83228392</w:t>
        </w:r>
      </w:hyperlink>
      <w:r w:rsidRPr="003807ED">
        <w:rPr>
          <w:rFonts w:ascii="Calibri" w:eastAsia="Times New Roman" w:hAnsi="Calibri" w:cs="Calibri"/>
          <w:color w:val="000000"/>
          <w:sz w:val="27"/>
          <w:szCs w:val="27"/>
          <w:lang w:eastAsia="pt-BR"/>
        </w:rPr>
        <w:t>) e Sentença Judicial (</w:t>
      </w:r>
      <w:hyperlink r:id="rId14" w:tgtFrame="_blank" w:history="1">
        <w:r w:rsidRPr="003807ED">
          <w:rPr>
            <w:rFonts w:ascii="Calibri" w:eastAsia="Times New Roman" w:hAnsi="Calibri" w:cs="Calibri"/>
            <w:color w:val="0000FF"/>
            <w:sz w:val="27"/>
            <w:szCs w:val="27"/>
            <w:u w:val="single"/>
            <w:lang w:eastAsia="pt-BR"/>
          </w:rPr>
          <w:t>83065154</w:t>
        </w:r>
      </w:hyperlink>
      <w:r w:rsidRPr="003807ED">
        <w:rPr>
          <w:rFonts w:ascii="Calibri" w:eastAsia="Times New Roman" w:hAnsi="Calibri" w:cs="Calibri"/>
          <w:color w:val="000000"/>
          <w:sz w:val="27"/>
          <w:szCs w:val="27"/>
          <w:lang w:eastAsia="pt-BR"/>
        </w:rPr>
        <w:t>), processo 202100031000578.</w:t>
      </w:r>
    </w:p>
    <w:p w:rsidR="003807ED" w:rsidRPr="003807ED" w:rsidRDefault="003807ED" w:rsidP="003807ED">
      <w:pPr>
        <w:spacing w:after="0" w:line="240" w:lineRule="auto"/>
        <w:ind w:left="60" w:right="60"/>
        <w:jc w:val="both"/>
        <w:rPr>
          <w:rFonts w:ascii="Calibri" w:eastAsia="Times New Roman" w:hAnsi="Calibri" w:cs="Calibri"/>
          <w:color w:val="000000"/>
          <w:lang w:eastAsia="pt-BR"/>
        </w:rPr>
      </w:pPr>
      <w:r w:rsidRPr="003807ED">
        <w:rPr>
          <w:rFonts w:ascii="Calibri" w:eastAsia="Times New Roman" w:hAnsi="Calibri" w:cs="Calibri"/>
          <w:color w:val="000000"/>
          <w:sz w:val="24"/>
          <w:szCs w:val="24"/>
          <w:lang w:eastAsia="pt-BR"/>
        </w:rPr>
        <w:t xml:space="preserve">Ocorre que, proposta a ação, o Município de Anápolis ingressou com Embargos </w:t>
      </w:r>
      <w:proofErr w:type="spellStart"/>
      <w:r w:rsidRPr="003807ED">
        <w:rPr>
          <w:rFonts w:ascii="Calibri" w:eastAsia="Times New Roman" w:hAnsi="Calibri" w:cs="Calibri"/>
          <w:color w:val="000000"/>
          <w:sz w:val="24"/>
          <w:szCs w:val="24"/>
          <w:lang w:eastAsia="pt-BR"/>
        </w:rPr>
        <w:t>a</w:t>
      </w:r>
      <w:proofErr w:type="spellEnd"/>
      <w:r w:rsidRPr="003807ED">
        <w:rPr>
          <w:rFonts w:ascii="Calibri" w:eastAsia="Times New Roman" w:hAnsi="Calibri" w:cs="Calibri"/>
          <w:color w:val="000000"/>
          <w:sz w:val="24"/>
          <w:szCs w:val="24"/>
          <w:lang w:eastAsia="pt-BR"/>
        </w:rPr>
        <w:t xml:space="preserve"> Execução. No julgamento dos Embargos, o débito foi considerado prescrito e, mesmo após a interposição dos recursos cabíveis pela Procuradoria Jurídica da AGEHAB, a sentença foi mantida (ID </w:t>
      </w:r>
      <w:hyperlink r:id="rId15" w:tgtFrame="_blank" w:history="1">
        <w:r w:rsidRPr="003807ED">
          <w:rPr>
            <w:rFonts w:ascii="Calibri" w:eastAsia="Times New Roman" w:hAnsi="Calibri" w:cs="Calibri"/>
            <w:color w:val="0000FF"/>
            <w:u w:val="single"/>
            <w:lang w:eastAsia="pt-BR"/>
          </w:rPr>
          <w:t>83065154</w:t>
        </w:r>
      </w:hyperlink>
      <w:r w:rsidRPr="003807ED">
        <w:rPr>
          <w:rFonts w:ascii="Calibri" w:eastAsia="Times New Roman" w:hAnsi="Calibri" w:cs="Calibri"/>
          <w:color w:val="000000"/>
          <w:sz w:val="24"/>
          <w:szCs w:val="24"/>
          <w:lang w:eastAsia="pt-BR"/>
        </w:rPr>
        <w:t>), e o reconhecimento da prescrição transitou em julgado.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 Nota Explicativa Nº 26 / 2025 AGEHAB/NFCT-20038 (</w:t>
      </w:r>
      <w:hyperlink r:id="rId16" w:tgtFrame="_blank" w:history="1">
        <w:r w:rsidRPr="003807ED">
          <w:rPr>
            <w:rFonts w:ascii="Calibri" w:eastAsia="Times New Roman" w:hAnsi="Calibri" w:cs="Calibri"/>
            <w:color w:val="0000FF"/>
            <w:sz w:val="27"/>
            <w:szCs w:val="27"/>
            <w:u w:val="single"/>
            <w:lang w:eastAsia="pt-BR"/>
          </w:rPr>
          <w:t>83761199</w:t>
        </w:r>
      </w:hyperlink>
      <w:r w:rsidRPr="003807ED">
        <w:rPr>
          <w:rFonts w:ascii="Calibri" w:eastAsia="Times New Roman" w:hAnsi="Calibri" w:cs="Calibri"/>
          <w:color w:val="000000"/>
          <w:sz w:val="27"/>
          <w:szCs w:val="27"/>
          <w:lang w:eastAsia="pt-BR"/>
        </w:rPr>
        <w:t>)</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Diante do exposto, no dia 27 de Novembro de 2025 (data da assinatura da sentença judicial) foi realizado o reconhecimento contábil da prescrição dos valores contabilizados referente à dívida da Prefeitura de Anápolis com a AGEHAB no montante de R$ 6.862.253,88 (seis milhões, oitocentos e sessenta e dois mil duzentos e cinquenta e três reais e oitenta e oito centavos), sendo o registro contábil, débito da conta contábil provisão para perdas de crédito de liquidação duvidosa (Conta redutora do Ativo) e crédito da conta contábil Prefeitura Municipal de Anápolis (Conta do Ativo), onde ocorrerá a baixa contábil do ativo, conforme razões contábeis (</w:t>
      </w:r>
      <w:hyperlink r:id="rId17" w:tgtFrame="_blank" w:history="1">
        <w:r w:rsidRPr="003807ED">
          <w:rPr>
            <w:rFonts w:ascii="Calibri" w:eastAsia="Times New Roman" w:hAnsi="Calibri" w:cs="Calibri"/>
            <w:color w:val="0000FF"/>
            <w:sz w:val="27"/>
            <w:szCs w:val="27"/>
            <w:u w:val="single"/>
            <w:lang w:eastAsia="pt-BR"/>
          </w:rPr>
          <w:t>83761183</w:t>
        </w:r>
      </w:hyperlink>
      <w:r w:rsidRPr="003807ED">
        <w:rPr>
          <w:rFonts w:ascii="Calibri" w:eastAsia="Times New Roman" w:hAnsi="Calibri" w:cs="Calibri"/>
          <w:color w:val="000000"/>
          <w:sz w:val="27"/>
          <w:szCs w:val="27"/>
          <w:lang w:eastAsia="pt-BR"/>
        </w:rPr>
        <w:t xml:space="preserve">). Informa-se que este lançamento contábil não surtirá efeitos nas contas de resultados considerando que o reconhecimento como perdas foram realizado em seus próprios exercício social após 2019, conforme </w:t>
      </w:r>
      <w:proofErr w:type="gramStart"/>
      <w:r w:rsidRPr="003807ED">
        <w:rPr>
          <w:rFonts w:ascii="Calibri" w:eastAsia="Times New Roman" w:hAnsi="Calibri" w:cs="Calibri"/>
          <w:color w:val="000000"/>
          <w:sz w:val="27"/>
          <w:szCs w:val="27"/>
          <w:lang w:eastAsia="pt-BR"/>
        </w:rPr>
        <w:t>determina :</w:t>
      </w:r>
      <w:proofErr w:type="gramEnd"/>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 xml:space="preserve"> NORMA BRASILEIRA DE CONTABILIDADE, NBC TG 48, DE 25 DE NOVEMBRO DE 2016 A entidade deve reduzir diretamente o valor contábil bruto de ativo financeiro quando a entidade não tiver expectativas razoáveis de recuperar o ativo financeiro em sua totalidade ou parte dele. A baixa constitui evento de </w:t>
      </w:r>
      <w:proofErr w:type="spellStart"/>
      <w:r w:rsidRPr="003807ED">
        <w:rPr>
          <w:rFonts w:ascii="Calibri" w:eastAsia="Times New Roman" w:hAnsi="Calibri" w:cs="Calibri"/>
          <w:color w:val="000000"/>
          <w:sz w:val="20"/>
          <w:szCs w:val="20"/>
          <w:lang w:eastAsia="pt-BR"/>
        </w:rPr>
        <w:t>desreconhecimento</w:t>
      </w:r>
      <w:proofErr w:type="spellEnd"/>
      <w:r w:rsidRPr="003807ED">
        <w:rPr>
          <w:rFonts w:ascii="Calibri" w:eastAsia="Times New Roman" w:hAnsi="Calibri" w:cs="Calibri"/>
          <w:color w:val="000000"/>
          <w:sz w:val="20"/>
          <w:szCs w:val="20"/>
          <w:lang w:eastAsia="pt-BR"/>
        </w:rPr>
        <w:t xml:space="preserve"> dos registros contábeis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c</w:t>
      </w:r>
      <w:r w:rsidRPr="003807ED">
        <w:rPr>
          <w:rFonts w:ascii="Calibri" w:eastAsia="Times New Roman" w:hAnsi="Calibri" w:cs="Calibri"/>
          <w:color w:val="000000"/>
          <w:sz w:val="27"/>
          <w:szCs w:val="27"/>
          <w:lang w:eastAsia="pt-BR"/>
        </w:rPr>
        <w:t>)  DESPACHO Nº 951/2025/AGEHAB/AI-11797 (</w:t>
      </w:r>
      <w:hyperlink r:id="rId18" w:tgtFrame="_blank" w:history="1">
        <w:r w:rsidRPr="003807ED">
          <w:rPr>
            <w:rFonts w:ascii="Calibri" w:eastAsia="Times New Roman" w:hAnsi="Calibri" w:cs="Calibri"/>
            <w:color w:val="0000FF"/>
            <w:sz w:val="27"/>
            <w:szCs w:val="27"/>
            <w:u w:val="single"/>
            <w:lang w:eastAsia="pt-BR"/>
          </w:rPr>
          <w:t>83894882</w:t>
        </w:r>
      </w:hyperlink>
      <w:r w:rsidRPr="003807ED">
        <w:rPr>
          <w:rFonts w:ascii="Calibri" w:eastAsia="Times New Roman" w:hAnsi="Calibri" w:cs="Calibri"/>
          <w:color w:val="000000"/>
          <w:sz w:val="27"/>
          <w:szCs w:val="27"/>
          <w:lang w:eastAsia="pt-BR"/>
        </w:rPr>
        <w:t>)</w:t>
      </w:r>
      <w:r w:rsidRPr="003807ED">
        <w:rPr>
          <w:rFonts w:ascii="Calibri" w:eastAsia="Times New Roman" w:hAnsi="Calibri" w:cs="Calibri"/>
          <w:b/>
          <w:bCs/>
          <w:color w:val="000000"/>
          <w:sz w:val="27"/>
          <w:szCs w:val="27"/>
          <w:lang w:eastAsia="pt-BR"/>
        </w:rPr>
        <w:t>  </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Da Não Afetação do Resultado de 2025</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9. A Nota Explicativa esclarece que o lançamento contábil proposto não surtirá efeitos nas contas de resultado do exercício de 2025, pois o reconhecimento das perdas foi realizado em exercício social anterior (2019), quando a PCLD foi constituída.</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10. Este entendimento está correto e alinhado com a boa prática contábil. A constituição da PCLD em 2019 já reconheceu a perda esperada no resultado daquele período, cumprindo o Regime de Competência. O lançamento de 2025 é meramente um ajuste patrimonial (baixa do ativo contra sua conta redutora), não impactando o resultado do exercício corrente, o que evita a dupla contabilização da perda.</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CONCLUSÃO</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11. Diante da análise da documentação e da fundamentação contábil apresentada, a Auditoria Interna CONCORDA com os procedimentos propostos pelo Núcleo de Contabilidade (NFCT) na Nota Explicativa nº 26/2025.</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12. Os procedimentos propostos estão em consonância com as Normas Brasileiras de Contabilidade aplicáveis, garantindo a fidedignidade das Demonstrações Financeiras da AGEHAB.</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RECOMENDAÇÕES</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13. Recomenda-se apenas que o NFCT assegure que a informação sobre a prescrição e a baixa do ativo, bem como o impacto da PCLD, seja devidamente detalhada na Nota Explicativa às Demonstrações Financeiras do exercício de 2025, conforme previsto no item 15 da Nota, em atendimento ao Princípio da Transparência e às exigências de divulgação das NBC TSP.</w:t>
      </w:r>
      <w:r w:rsidRPr="003807ED">
        <w:rPr>
          <w:rFonts w:ascii="Calibri" w:eastAsia="Times New Roman" w:hAnsi="Calibri" w:cs="Calibri"/>
          <w:b/>
          <w:bCs/>
          <w:color w:val="000000"/>
          <w:sz w:val="20"/>
          <w:szCs w:val="20"/>
          <w:lang w:eastAsia="pt-BR"/>
        </w:rPr>
        <w:t>       </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12.3. Unidades Residenciais de Programas de Governo, no município de Senador Canedo e Aparecida de Goiânia, totalizando R$ 699.947,07 (seiscentos e noventa e nove mil novecentos e quarenta e sete reais e sete centavos)</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2007"/>
        <w:gridCol w:w="3884"/>
        <w:gridCol w:w="4162"/>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Unidades Residenciais Programas Governo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Senador Canedo - Conjunto Sabiá</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600.528,34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953.012,33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Aparecida de Goiânia - Conjunto Planície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99.418,73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176.744,44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699.947,07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1.129.756,77</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 Refere-se aos</w:t>
      </w:r>
      <w:r w:rsidRPr="003807ED">
        <w:rPr>
          <w:rFonts w:ascii="Calibri" w:eastAsia="Times New Roman" w:hAnsi="Calibri" w:cs="Calibri"/>
          <w:color w:val="000000"/>
          <w:sz w:val="24"/>
          <w:szCs w:val="24"/>
          <w:lang w:eastAsia="pt-BR"/>
        </w:rPr>
        <w:t>  BENS IMÓVEIS (EM ESTOQUE) destinados à comercialização ou cessão da Agência Goiana de Habitação S/A -AGEHAB, que corresponde a 46(Quarenta e Seis) Unidades Residenciais localizados no Conjunto Sabiá/Jardim Sabiá no município de Senador Canedo/Goiás e a 09 (Nove) Unidades Residenciais localizados no Conjunto Planície no município de Aparecida de Goiânia/Goiás, são classificados como (EM ESTOQUE) DESTINADOS À COMERCIALIZAÇÃO OU CESSÃO, contabilizados no Ativo Não- Circulante/Realizável a Longo Prazo, no grupo contábil Unidades Residenciais Programas Governo Estado e Municípios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 Inventário realizado pela comissão de inventário de Bens do Imóveis </w:t>
      </w:r>
      <w:r w:rsidRPr="003807ED">
        <w:rPr>
          <w:rFonts w:ascii="Calibri" w:eastAsia="Times New Roman" w:hAnsi="Calibri" w:cs="Calibri"/>
          <w:color w:val="000000"/>
          <w:sz w:val="24"/>
          <w:szCs w:val="24"/>
          <w:lang w:eastAsia="pt-BR"/>
        </w:rPr>
        <w:t>Deliberação da Diretoria Executiva 274/2025 – AGEHAB (</w:t>
      </w:r>
      <w:hyperlink r:id="rId19" w:tgtFrame="_blank" w:history="1">
        <w:r w:rsidRPr="003807ED">
          <w:rPr>
            <w:rFonts w:ascii="Calibri" w:eastAsia="Times New Roman" w:hAnsi="Calibri" w:cs="Calibri"/>
            <w:color w:val="0000FF"/>
            <w:sz w:val="27"/>
            <w:szCs w:val="27"/>
            <w:u w:val="single"/>
            <w:lang w:eastAsia="pt-BR"/>
          </w:rPr>
          <w:t>81748871</w:t>
        </w:r>
      </w:hyperlink>
      <w:r w:rsidRPr="003807ED">
        <w:rPr>
          <w:rFonts w:ascii="Calibri" w:eastAsia="Times New Roman" w:hAnsi="Calibri" w:cs="Calibri"/>
          <w:color w:val="000000"/>
          <w:sz w:val="24"/>
          <w:szCs w:val="24"/>
          <w:lang w:eastAsia="pt-BR"/>
        </w:rPr>
        <w:t>) </w:t>
      </w:r>
      <w:r w:rsidRPr="003807ED">
        <w:rPr>
          <w:rFonts w:ascii="Calibri" w:eastAsia="Times New Roman" w:hAnsi="Calibri" w:cs="Calibri"/>
          <w:color w:val="000000"/>
          <w:sz w:val="27"/>
          <w:szCs w:val="27"/>
          <w:lang w:eastAsia="pt-BR"/>
        </w:rPr>
        <w:t>,  conforme documentos (</w:t>
      </w:r>
      <w:hyperlink r:id="rId20" w:tgtFrame="_blank" w:history="1">
        <w:r w:rsidRPr="003807ED">
          <w:rPr>
            <w:rFonts w:ascii="Calibri" w:eastAsia="Times New Roman" w:hAnsi="Calibri" w:cs="Calibri"/>
            <w:color w:val="0000FF"/>
            <w:sz w:val="27"/>
            <w:szCs w:val="27"/>
            <w:u w:val="single"/>
            <w:lang w:eastAsia="pt-BR"/>
          </w:rPr>
          <w:t>85438700</w:t>
        </w:r>
      </w:hyperlink>
      <w:r w:rsidRPr="003807ED">
        <w:rPr>
          <w:rFonts w:ascii="Calibri" w:eastAsia="Times New Roman" w:hAnsi="Calibri" w:cs="Calibri"/>
          <w:color w:val="000000"/>
          <w:sz w:val="27"/>
          <w:szCs w:val="27"/>
          <w:lang w:eastAsia="pt-BR"/>
        </w:rPr>
        <w:t>), (</w:t>
      </w:r>
      <w:hyperlink r:id="rId21" w:tgtFrame="_blank" w:history="1">
        <w:r w:rsidRPr="003807ED">
          <w:rPr>
            <w:rFonts w:ascii="Calibri" w:eastAsia="Times New Roman" w:hAnsi="Calibri" w:cs="Calibri"/>
            <w:color w:val="0000FF"/>
            <w:sz w:val="27"/>
            <w:szCs w:val="27"/>
            <w:u w:val="single"/>
            <w:lang w:eastAsia="pt-BR"/>
          </w:rPr>
          <w:t>85442886</w:t>
        </w:r>
      </w:hyperlink>
      <w:r w:rsidRPr="003807ED">
        <w:rPr>
          <w:rFonts w:ascii="Calibri" w:eastAsia="Times New Roman" w:hAnsi="Calibri" w:cs="Calibri"/>
          <w:color w:val="000000"/>
          <w:sz w:val="27"/>
          <w:szCs w:val="27"/>
          <w:lang w:eastAsia="pt-BR"/>
        </w:rPr>
        <w:t>) e (</w:t>
      </w:r>
      <w:hyperlink r:id="rId22" w:tgtFrame="_blank" w:history="1">
        <w:r w:rsidRPr="003807ED">
          <w:rPr>
            <w:rFonts w:ascii="Calibri" w:eastAsia="Times New Roman" w:hAnsi="Calibri" w:cs="Calibri"/>
            <w:color w:val="0000FF"/>
            <w:sz w:val="27"/>
            <w:szCs w:val="27"/>
            <w:u w:val="single"/>
            <w:lang w:eastAsia="pt-BR"/>
          </w:rPr>
          <w:t>85455157</w:t>
        </w:r>
      </w:hyperlink>
      <w:r w:rsidRPr="003807ED">
        <w:rPr>
          <w:rFonts w:ascii="Calibri" w:eastAsia="Times New Roman" w:hAnsi="Calibri" w:cs="Calibri"/>
          <w:color w:val="000000"/>
          <w:sz w:val="27"/>
          <w:szCs w:val="27"/>
          <w:lang w:eastAsia="pt-BR"/>
        </w:rPr>
        <w:t>),  Processo 202500005032714.</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c) Em 2025, realizado doações de 27 ( Vinte e Sete) Unidades Residenciais do Conjunto Sabiá em Senador Canedo conforme processo 202300031003067 Deliberação da Diretoria Executiva 110/2023 - AGEHAB (</w:t>
      </w:r>
      <w:hyperlink r:id="rId23" w:tgtFrame="_blank" w:history="1">
        <w:r w:rsidRPr="003807ED">
          <w:rPr>
            <w:rFonts w:ascii="Calibri" w:eastAsia="Times New Roman" w:hAnsi="Calibri" w:cs="Calibri"/>
            <w:color w:val="0000FF"/>
            <w:sz w:val="27"/>
            <w:szCs w:val="27"/>
            <w:u w:val="single"/>
            <w:lang w:eastAsia="pt-BR"/>
          </w:rPr>
          <w:t>50192849</w:t>
        </w:r>
      </w:hyperlink>
      <w:r w:rsidRPr="003807ED">
        <w:rPr>
          <w:rFonts w:ascii="Calibri" w:eastAsia="Times New Roman" w:hAnsi="Calibri" w:cs="Calibri"/>
          <w:color w:val="000000"/>
          <w:sz w:val="27"/>
          <w:szCs w:val="27"/>
          <w:lang w:eastAsia="pt-BR"/>
        </w:rPr>
        <w:t>) e DESPACHO Nº 777/2025/AGEHAB/GSRF-11804 (</w:t>
      </w:r>
      <w:hyperlink r:id="rId24" w:tgtFrame="_blank" w:history="1">
        <w:r w:rsidRPr="003807ED">
          <w:rPr>
            <w:rFonts w:ascii="Calibri" w:eastAsia="Times New Roman" w:hAnsi="Calibri" w:cs="Calibri"/>
            <w:color w:val="0000FF"/>
            <w:sz w:val="27"/>
            <w:szCs w:val="27"/>
            <w:u w:val="single"/>
            <w:lang w:eastAsia="pt-BR"/>
          </w:rPr>
          <w:t>76646506</w:t>
        </w:r>
      </w:hyperlink>
      <w:r w:rsidRPr="003807ED">
        <w:rPr>
          <w:rFonts w:ascii="Calibri" w:eastAsia="Times New Roman" w:hAnsi="Calibri" w:cs="Calibri"/>
          <w:color w:val="000000"/>
          <w:sz w:val="27"/>
          <w:szCs w:val="27"/>
          <w:lang w:eastAsia="pt-BR"/>
        </w:rPr>
        <w:t>), com fundamento na política executada por esta Agência, aprovado a realização da regularização, via legitimação fundiária, do </w:t>
      </w:r>
      <w:r w:rsidRPr="003807ED">
        <w:rPr>
          <w:rFonts w:ascii="Calibri" w:eastAsia="Times New Roman" w:hAnsi="Calibri" w:cs="Calibri"/>
          <w:color w:val="000000"/>
          <w:sz w:val="24"/>
          <w:szCs w:val="24"/>
          <w:lang w:eastAsia="pt-BR"/>
        </w:rPr>
        <w:t>Conjunto Habitacional Jardim Sabiá</w:t>
      </w:r>
      <w:r w:rsidRPr="003807ED">
        <w:rPr>
          <w:rFonts w:ascii="Calibri" w:eastAsia="Times New Roman" w:hAnsi="Calibri" w:cs="Calibri"/>
          <w:color w:val="000000"/>
          <w:sz w:val="27"/>
          <w:szCs w:val="27"/>
          <w:lang w:eastAsia="pt-BR"/>
        </w:rPr>
        <w:t>, no município de</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4"/>
          <w:szCs w:val="24"/>
          <w:lang w:eastAsia="pt-BR"/>
        </w:rPr>
        <w:t>Senador Canedo/Goiás</w:t>
      </w:r>
      <w:r w:rsidRPr="003807ED">
        <w:rPr>
          <w:rFonts w:ascii="Calibri" w:eastAsia="Times New Roman" w:hAnsi="Calibri" w:cs="Calibri"/>
          <w:color w:val="000000"/>
          <w:sz w:val="27"/>
          <w:szCs w:val="27"/>
          <w:lang w:eastAsia="pt-BR"/>
        </w:rPr>
        <w:t>, loteamento </w:t>
      </w:r>
      <w:r w:rsidRPr="003807ED">
        <w:rPr>
          <w:rFonts w:ascii="Calibri" w:eastAsia="Times New Roman" w:hAnsi="Calibri" w:cs="Calibri"/>
          <w:color w:val="000000"/>
          <w:sz w:val="24"/>
          <w:szCs w:val="24"/>
          <w:lang w:eastAsia="pt-BR"/>
        </w:rPr>
        <w:t>caracterizado como núcleo urbano informal consolidados, conforme</w:t>
      </w:r>
      <w:r w:rsidRPr="003807ED">
        <w:rPr>
          <w:rFonts w:ascii="Calibri" w:eastAsia="Times New Roman" w:hAnsi="Calibri" w:cs="Calibri"/>
          <w:color w:val="000000"/>
          <w:sz w:val="27"/>
          <w:szCs w:val="27"/>
          <w:lang w:eastAsia="pt-BR"/>
        </w:rPr>
        <w:t> PARECER JURÍDICO REFERENCIAL AGEHAB/ASJUR Nº 195/2023 (</w:t>
      </w:r>
      <w:hyperlink r:id="rId25" w:tgtFrame="_blank" w:history="1">
        <w:r w:rsidRPr="003807ED">
          <w:rPr>
            <w:rFonts w:ascii="Calibri" w:eastAsia="Times New Roman" w:hAnsi="Calibri" w:cs="Calibri"/>
            <w:color w:val="0000FF"/>
            <w:sz w:val="27"/>
            <w:szCs w:val="27"/>
            <w:u w:val="single"/>
            <w:lang w:eastAsia="pt-BR"/>
          </w:rPr>
          <w:t>46094479</w:t>
        </w:r>
      </w:hyperlink>
      <w:r w:rsidRPr="003807ED">
        <w:rPr>
          <w:rFonts w:ascii="Calibri" w:eastAsia="Times New Roman" w:hAnsi="Calibri" w:cs="Calibri"/>
          <w:color w:val="000000"/>
          <w:sz w:val="27"/>
          <w:szCs w:val="27"/>
          <w:lang w:eastAsia="pt-BR"/>
        </w:rPr>
        <w:t>).</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d) Em 2025, Realizado doações de 07 ( Sete) Unidades Residenciais do Conjunto Planície em Aparecida de Goiânia conforme processo 202300031006464 Deliberação da Diretoria Executiva 177/2025 - AGEHAB (</w:t>
      </w:r>
      <w:hyperlink r:id="rId26" w:tgtFrame="_blank" w:history="1">
        <w:r w:rsidRPr="003807ED">
          <w:rPr>
            <w:rFonts w:ascii="Calibri" w:eastAsia="Times New Roman" w:hAnsi="Calibri" w:cs="Calibri"/>
            <w:color w:val="0000FF"/>
            <w:sz w:val="27"/>
            <w:szCs w:val="27"/>
            <w:u w:val="single"/>
            <w:lang w:eastAsia="pt-BR"/>
          </w:rPr>
          <w:t>75468401</w:t>
        </w:r>
      </w:hyperlink>
      <w:r w:rsidRPr="003807ED">
        <w:rPr>
          <w:rFonts w:ascii="Calibri" w:eastAsia="Times New Roman" w:hAnsi="Calibri" w:cs="Calibri"/>
          <w:color w:val="000000"/>
          <w:sz w:val="27"/>
          <w:szCs w:val="27"/>
          <w:lang w:eastAsia="pt-BR"/>
        </w:rPr>
        <w:t>), Art. 1ª  Fica autorizado a  Regularização Fundiária urbana de 16 lotes existentes no loteamento Setor Planície, Município de Aparecida de Goiânia de </w:t>
      </w:r>
      <w:proofErr w:type="spellStart"/>
      <w:r w:rsidRPr="003807ED">
        <w:rPr>
          <w:rFonts w:ascii="Calibri" w:eastAsia="Times New Roman" w:hAnsi="Calibri" w:cs="Calibri"/>
          <w:color w:val="000000"/>
          <w:sz w:val="27"/>
          <w:szCs w:val="27"/>
          <w:lang w:eastAsia="pt-BR"/>
        </w:rPr>
        <w:t>de</w:t>
      </w:r>
      <w:proofErr w:type="spellEnd"/>
      <w:r w:rsidRPr="003807ED">
        <w:rPr>
          <w:rFonts w:ascii="Calibri" w:eastAsia="Times New Roman" w:hAnsi="Calibri" w:cs="Calibri"/>
          <w:color w:val="000000"/>
          <w:sz w:val="27"/>
          <w:szCs w:val="27"/>
          <w:lang w:eastAsia="pt-BR"/>
        </w:rPr>
        <w:t xml:space="preserve"> propriedade da  Agência Goiana de Habitação - AGEHAB, com fundamento na Lei estadual nº 20.954/2020 e Lei federal nº 13.465/2017. Art. 2º  -  O referido procedimento deverá observar as recomendações jurídicas constante no Parecer Jurídico  nº 170/2024 (</w:t>
      </w:r>
      <w:hyperlink r:id="rId27" w:tgtFrame="_blank" w:history="1">
        <w:r w:rsidRPr="003807ED">
          <w:rPr>
            <w:rFonts w:ascii="Calibri" w:eastAsia="Times New Roman" w:hAnsi="Calibri" w:cs="Calibri"/>
            <w:color w:val="0000FF"/>
            <w:sz w:val="27"/>
            <w:szCs w:val="27"/>
            <w:u w:val="single"/>
            <w:lang w:eastAsia="pt-BR"/>
          </w:rPr>
          <w:t>57625550</w:t>
        </w:r>
      </w:hyperlink>
      <w:r w:rsidRPr="003807ED">
        <w:rPr>
          <w:rFonts w:ascii="Calibri" w:eastAsia="Times New Roman" w:hAnsi="Calibri" w:cs="Calibri"/>
          <w:color w:val="000000"/>
          <w:sz w:val="27"/>
          <w:szCs w:val="27"/>
          <w:lang w:eastAsia="pt-BR"/>
        </w:rPr>
        <w:t>).</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12.4. Terrenos Destinados Edificações ou Urbanização, totalizando R$ 2.120.641,97 (dois milhões, cento e vinte mil seiscentos e quarenta e um reais e noventa e sete centavos)</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2403"/>
        <w:gridCol w:w="3825"/>
        <w:gridCol w:w="3825"/>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Terrenos Destinados Edificações ou Urbanização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Santos Dumont/Goiânia-Goiás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54.655,68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54.655,68</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Conjunto Vera Cruz/Goiânia-Goiás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2.065.986,29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2.159.325,65</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2.120.641,97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2.213.981,33</w:t>
            </w:r>
          </w:p>
        </w:tc>
      </w:tr>
    </w:tbl>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12.4.1. Santos Dumont e Conjunto Vera Cruz</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12.4.1.</w:t>
      </w:r>
      <w:r w:rsidRPr="003807ED">
        <w:rPr>
          <w:rFonts w:ascii="Calibri" w:eastAsia="Times New Roman" w:hAnsi="Calibri" w:cs="Calibri"/>
          <w:color w:val="000000"/>
          <w:sz w:val="24"/>
          <w:szCs w:val="24"/>
          <w:lang w:eastAsia="pt-BR"/>
        </w:rPr>
        <w:t> Refere-se aos </w:t>
      </w:r>
      <w:r w:rsidRPr="003807ED">
        <w:rPr>
          <w:rFonts w:ascii="Calibri" w:eastAsia="Times New Roman" w:hAnsi="Calibri" w:cs="Calibri"/>
          <w:color w:val="000000"/>
          <w:sz w:val="27"/>
          <w:szCs w:val="27"/>
          <w:lang w:eastAsia="pt-BR"/>
        </w:rPr>
        <w:t>BENS IMÓVEIS (EM ESTOQUE)</w:t>
      </w:r>
      <w:r w:rsidRPr="003807ED">
        <w:rPr>
          <w:rFonts w:ascii="Calibri" w:eastAsia="Times New Roman" w:hAnsi="Calibri" w:cs="Calibri"/>
          <w:color w:val="000000"/>
          <w:sz w:val="24"/>
          <w:szCs w:val="24"/>
          <w:lang w:eastAsia="pt-BR"/>
        </w:rPr>
        <w:t> destinados à comercialização ou cessão da Agência Goiana de Habitação S/A -AGEHAB, que corresponde a 619 (Seiscentos e Dezenove) Terrenos/Urbano localizados no Conjunto Vera Cruz no município de Goiânia/Goiás e 05 (Cinco) Terrenos/Urbano localizados no  Conjunto Santos Dumont no município de Goiânia/Goiás, são classificados como (EM ESTOQUE) DESTINADOS À COMERCIALIZAÇÃO OU CESSÃO, contabilizados no Ativo Não - Circulante/Realizável a Longo Prazo, no grupo contábil Terrenos Destinados Edificações ou Urbanização.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12.4.2. Em cumprimento a Resolução do Conselho Federal de Contabilidade nº 1428/2013 regulamentada pela NBC TG 46 – Mensuração do Valor Justo, foram realizadas avaliações ao valor justo, mas não foram reconhecidos pelo motivo que estes lotes serão construídos moradias de interesse social destinadas às famílias de baixa renda.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12.4.3. Em 31/03/2025, houveram baixas na proporcionalidade de 116 (Cento e Dezesseis) escrituras referente alienações dos blocos 104 a 117 Rua VC-21 e Rua VC-21ª Conjunto Vera Cruz em Goiânia/Goiás, destinados à construção de 240(Duzentos e Quarenta) Unidades Habitacionais denominado Iris Rezende III Processo 202300031009127.</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12.4.4. Em 08/12/2025, houveram baixas na proporcionalidade de 100 (Cem) escrituras referente alienações dos blocos 104 a 117 Rua VC-21 e Rua VC-21ªConjunto Vera Cruz em Goiânia/Goiás destinados à construção de 240(Duzentos e Quarenta) Unidades Habitacionais denominado Iris Rezende III Processo 202300031009127.</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12.4.5.  Inventário realizado pela comissão de inventário de Bens do Imóveis </w:t>
      </w:r>
      <w:r w:rsidRPr="003807ED">
        <w:rPr>
          <w:rFonts w:ascii="Calibri" w:eastAsia="Times New Roman" w:hAnsi="Calibri" w:cs="Calibri"/>
          <w:color w:val="000000"/>
          <w:sz w:val="24"/>
          <w:szCs w:val="24"/>
          <w:lang w:eastAsia="pt-BR"/>
        </w:rPr>
        <w:t>Deliberação da Diretoria Executiva 274/2025 – AGEHAB (</w:t>
      </w:r>
      <w:hyperlink r:id="rId28" w:tgtFrame="_blank" w:history="1">
        <w:r w:rsidRPr="003807ED">
          <w:rPr>
            <w:rFonts w:ascii="Calibri" w:eastAsia="Times New Roman" w:hAnsi="Calibri" w:cs="Calibri"/>
            <w:color w:val="0000FF"/>
            <w:sz w:val="27"/>
            <w:szCs w:val="27"/>
            <w:u w:val="single"/>
            <w:lang w:eastAsia="pt-BR"/>
          </w:rPr>
          <w:t>81748871</w:t>
        </w:r>
      </w:hyperlink>
      <w:r w:rsidRPr="003807ED">
        <w:rPr>
          <w:rFonts w:ascii="Calibri" w:eastAsia="Times New Roman" w:hAnsi="Calibri" w:cs="Calibri"/>
          <w:color w:val="000000"/>
          <w:sz w:val="24"/>
          <w:szCs w:val="24"/>
          <w:lang w:eastAsia="pt-BR"/>
        </w:rPr>
        <w:t>) </w:t>
      </w:r>
      <w:r w:rsidRPr="003807ED">
        <w:rPr>
          <w:rFonts w:ascii="Calibri" w:eastAsia="Times New Roman" w:hAnsi="Calibri" w:cs="Calibri"/>
          <w:color w:val="000000"/>
          <w:sz w:val="27"/>
          <w:szCs w:val="27"/>
          <w:lang w:eastAsia="pt-BR"/>
        </w:rPr>
        <w:t>,  conforme documentos (</w:t>
      </w:r>
      <w:hyperlink r:id="rId29" w:tgtFrame="_blank" w:history="1">
        <w:r w:rsidRPr="003807ED">
          <w:rPr>
            <w:rFonts w:ascii="Calibri" w:eastAsia="Times New Roman" w:hAnsi="Calibri" w:cs="Calibri"/>
            <w:color w:val="0000FF"/>
            <w:sz w:val="27"/>
            <w:szCs w:val="27"/>
            <w:u w:val="single"/>
            <w:lang w:eastAsia="pt-BR"/>
          </w:rPr>
          <w:t>85454397</w:t>
        </w:r>
      </w:hyperlink>
      <w:r w:rsidRPr="003807ED">
        <w:rPr>
          <w:rFonts w:ascii="Calibri" w:eastAsia="Times New Roman" w:hAnsi="Calibri" w:cs="Calibri"/>
          <w:color w:val="000000"/>
          <w:sz w:val="27"/>
          <w:szCs w:val="27"/>
          <w:lang w:eastAsia="pt-BR"/>
        </w:rPr>
        <w:t>) e (</w:t>
      </w:r>
      <w:hyperlink r:id="rId30" w:tgtFrame="_blank" w:history="1">
        <w:r w:rsidRPr="003807ED">
          <w:rPr>
            <w:rFonts w:ascii="Calibri" w:eastAsia="Times New Roman" w:hAnsi="Calibri" w:cs="Calibri"/>
            <w:color w:val="0000FF"/>
            <w:sz w:val="27"/>
            <w:szCs w:val="27"/>
            <w:u w:val="single"/>
            <w:lang w:eastAsia="pt-BR"/>
          </w:rPr>
          <w:t>85455157</w:t>
        </w:r>
      </w:hyperlink>
      <w:r w:rsidRPr="003807ED">
        <w:rPr>
          <w:rFonts w:ascii="Calibri" w:eastAsia="Times New Roman" w:hAnsi="Calibri" w:cs="Calibri"/>
          <w:color w:val="000000"/>
          <w:sz w:val="27"/>
          <w:szCs w:val="27"/>
          <w:lang w:eastAsia="pt-BR"/>
        </w:rPr>
        <w:t>),  Processo 202500005032714.</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12.5. Tributos a recuperar, totalizando R$ 373.527,44 (trezentos e setenta e três mil quinhentos e vinte e sete reais e quarenta e quatro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12.5.</w:t>
      </w:r>
      <w:proofErr w:type="gramStart"/>
      <w:r w:rsidRPr="003807ED">
        <w:rPr>
          <w:rFonts w:ascii="Calibri" w:eastAsia="Times New Roman" w:hAnsi="Calibri" w:cs="Calibri"/>
          <w:color w:val="000000"/>
          <w:sz w:val="27"/>
          <w:szCs w:val="27"/>
          <w:lang w:eastAsia="pt-BR"/>
        </w:rPr>
        <w:t>1.Refere</w:t>
      </w:r>
      <w:proofErr w:type="gramEnd"/>
      <w:r w:rsidRPr="003807ED">
        <w:rPr>
          <w:rFonts w:ascii="Calibri" w:eastAsia="Times New Roman" w:hAnsi="Calibri" w:cs="Calibri"/>
          <w:color w:val="000000"/>
          <w:sz w:val="27"/>
          <w:szCs w:val="27"/>
          <w:lang w:eastAsia="pt-BR"/>
        </w:rPr>
        <w:t>-se ao Saldo Negativo do Imposto de Renda oriundo de Imposto de Renda Retido na Fonte sobre os rendimentos financeiros das Contas de Investimento/Poupança em nome da Agência Goiana de Habitação S/A e Imposto de Renda Retido na Fonte das notas fiscais emitida para Secretaria de Estado da Economia, cujos valores são atualizados mensalmente conforme juros de mora equivalentes à taxa referencial do Sistema Especial de Liquidação e Custódia (SELIC).</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423"/>
        <w:gridCol w:w="4315"/>
        <w:gridCol w:w="4315"/>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Tributos a Recuperar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Saldo Negativo do Imposto de Renda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373.527,44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332.902,37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373.527,44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332.902,37</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proofErr w:type="gramStart"/>
      <w:r w:rsidRPr="003807ED">
        <w:rPr>
          <w:rFonts w:ascii="Calibri" w:eastAsia="Times New Roman" w:hAnsi="Calibri" w:cs="Calibri"/>
          <w:color w:val="000000"/>
          <w:sz w:val="27"/>
          <w:szCs w:val="27"/>
          <w:lang w:eastAsia="pt-BR"/>
        </w:rPr>
        <w:t>a) Em</w:t>
      </w:r>
      <w:proofErr w:type="gramEnd"/>
      <w:r w:rsidRPr="003807ED">
        <w:rPr>
          <w:rFonts w:ascii="Calibri" w:eastAsia="Times New Roman" w:hAnsi="Calibri" w:cs="Calibri"/>
          <w:color w:val="000000"/>
          <w:sz w:val="27"/>
          <w:szCs w:val="27"/>
          <w:lang w:eastAsia="pt-BR"/>
        </w:rPr>
        <w:t xml:space="preserve"> 20/09/2024 recebido na conta bancária em nome Agência Goiana de Habitação S/A restituição oriunda as retenções de Imposto de Renda do Exercício Social 2022 através do PERDCOMP nº 25026.21614.280623.1.2.02-2901.</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proofErr w:type="gramStart"/>
      <w:r w:rsidRPr="003807ED">
        <w:rPr>
          <w:rFonts w:ascii="Calibri" w:eastAsia="Times New Roman" w:hAnsi="Calibri" w:cs="Calibri"/>
          <w:color w:val="000000"/>
          <w:sz w:val="27"/>
          <w:szCs w:val="27"/>
          <w:lang w:eastAsia="pt-BR"/>
        </w:rPr>
        <w:t>b) Em</w:t>
      </w:r>
      <w:proofErr w:type="gramEnd"/>
      <w:r w:rsidRPr="003807ED">
        <w:rPr>
          <w:rFonts w:ascii="Calibri" w:eastAsia="Times New Roman" w:hAnsi="Calibri" w:cs="Calibri"/>
          <w:color w:val="000000"/>
          <w:sz w:val="27"/>
          <w:szCs w:val="27"/>
          <w:lang w:eastAsia="pt-BR"/>
        </w:rPr>
        <w:t xml:space="preserve"> 21/11/2024 recebido na conta bancária em nome da Agência Goiana de Habitação S/A restituição oriunda das retenções de Imposto de Renda do Exercício Social 2017 através do PERDCOMP nº 34794.42220.180320.1.6.02-0367.</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proofErr w:type="gramStart"/>
      <w:r w:rsidRPr="003807ED">
        <w:rPr>
          <w:rFonts w:ascii="Calibri" w:eastAsia="Times New Roman" w:hAnsi="Calibri" w:cs="Calibri"/>
          <w:color w:val="000000"/>
          <w:sz w:val="27"/>
          <w:szCs w:val="27"/>
          <w:lang w:eastAsia="pt-BR"/>
        </w:rPr>
        <w:t>c) Em</w:t>
      </w:r>
      <w:proofErr w:type="gramEnd"/>
      <w:r w:rsidRPr="003807ED">
        <w:rPr>
          <w:rFonts w:ascii="Calibri" w:eastAsia="Times New Roman" w:hAnsi="Calibri" w:cs="Calibri"/>
          <w:color w:val="000000"/>
          <w:sz w:val="27"/>
          <w:szCs w:val="27"/>
          <w:lang w:eastAsia="pt-BR"/>
        </w:rPr>
        <w:t xml:space="preserve"> 19/07/2024 solicitado à Receita Federal restituição referente às retenções de Imposto de Renda do Exercício Social de 2023 através do PERDCOMP nº 17888.01882.190724.1.2.02-8176, cuja situação está em análise.</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proofErr w:type="gramStart"/>
      <w:r w:rsidRPr="003807ED">
        <w:rPr>
          <w:rFonts w:ascii="Calibri" w:eastAsia="Times New Roman" w:hAnsi="Calibri" w:cs="Calibri"/>
          <w:color w:val="000000"/>
          <w:sz w:val="27"/>
          <w:szCs w:val="27"/>
          <w:lang w:eastAsia="pt-BR"/>
        </w:rPr>
        <w:t>d) Em</w:t>
      </w:r>
      <w:proofErr w:type="gramEnd"/>
      <w:r w:rsidRPr="003807ED">
        <w:rPr>
          <w:rFonts w:ascii="Calibri" w:eastAsia="Times New Roman" w:hAnsi="Calibri" w:cs="Calibri"/>
          <w:color w:val="000000"/>
          <w:sz w:val="27"/>
          <w:szCs w:val="27"/>
          <w:lang w:eastAsia="pt-BR"/>
        </w:rPr>
        <w:t xml:space="preserve"> 22/09/2025 a AGEHAB recebeu em conta bancária restituição referente às retenções de Imposto de Renda do Exercício Social de 2024 através do PERDCOMP nº 29717.54774.100725.1.2.02-9147, no total de R$ 432.527,75 (quatrocentos e trinta e dois mil quinhentos e vinte e sete reais e setenta e cinco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firstLine="1699"/>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12.6. Obras em Andamento – Programas Habitacionais, totalizando R$ 695.905.356,33 (seiscentos e noventa e cinco milhões, novecentos e cinco mil trezentos e cinquenta e seis reais e trinta e três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12.6.1 Os valores contabilizados no grupo OBRAS EM ANDAMENTO refere-se aos pagamentos dos serviços prestados pelas construtoras incluídos (mão de obra e materiais), com a utilização dos recursos financeiros do Tesouro do Estado de Goiás (Subvenção Governamental para subsidiar o programa de governo MORADIA COMO BASE DE CIDADANIA para Construção Unidades Habitacionais e Recursos Convênios Federais referente aos termos de parcerias União/CEF/FAR/PROTEGE para subsidiar Construção de Unidades Habitacionais e Equipamentos Comunitários.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12.6.2 Controle dos valores contabilizados em Obras em Andamento, através das emissões das notas fiscais apropriadas por fonte de orçamentária.</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3305"/>
        <w:gridCol w:w="3374"/>
        <w:gridCol w:w="3374"/>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Obras Em Andamento - Programas Habitacionais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Obras em Andamento - Recurso Tesouro Estadual - Fonte Protege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665.989.230,17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493.723.326,24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Obras em Andamento - Convênios Federais FGTS/CAIXA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3.288.451,36</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Obras em Andamento - Retomada - Fonte Recurso Ordinário Estadual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6.981.044,48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8.621.297,25</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Obras em Andamento - Recurso Tesouro Estadual - Fonte Protege/FAR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22.935.081,68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695.905.356,33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505.633.074,85</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12.6.2.1. Em 2025 foram registradas o total de R$ 525.662.288,89 (quinhentos e vinte e cinco milhões, seiscentos e sessenta e dois mil duzentos e oitenta e oito reais e oitenta e nove centavos)</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7"/>
          <w:szCs w:val="27"/>
          <w:lang w:eastAsia="pt-BR"/>
        </w:rPr>
        <w:t>em notas fiscais emitidas e pagamentos realizados referente ação de Construção de Unidades Habitacionais.</w:t>
      </w:r>
    </w:p>
    <w:tbl>
      <w:tblPr>
        <w:tblW w:w="16249"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542"/>
        <w:gridCol w:w="5707"/>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Saldo em 31/12/2024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505.633.074,85</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Medições Realizadas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525.662.288,89</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Baixas Realizadas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332.101.556,05</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Transferência Obras Concluídas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3.288.451,36</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em 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695.905.356,33</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12.6.2.2. No 2º Trimestre/2025 foram celebrados convênios CEF/FAR/PROTEGE/AGEHAB com objetivo de construir 1.488 (Um mil, quatrocentos e oitenta e oito) Unidades Habitacionais em 07(sete) Empreendimentos denominados Villa Romana, Residencial Alto da Boa Vista </w:t>
      </w:r>
      <w:proofErr w:type="gramStart"/>
      <w:r w:rsidRPr="003807ED">
        <w:rPr>
          <w:rFonts w:ascii="Calibri" w:eastAsia="Times New Roman" w:hAnsi="Calibri" w:cs="Calibri"/>
          <w:color w:val="000000"/>
          <w:sz w:val="27"/>
          <w:szCs w:val="27"/>
          <w:lang w:eastAsia="pt-BR"/>
        </w:rPr>
        <w:t>I,II</w:t>
      </w:r>
      <w:proofErr w:type="gramEnd"/>
      <w:r w:rsidRPr="003807ED">
        <w:rPr>
          <w:rFonts w:ascii="Calibri" w:eastAsia="Times New Roman" w:hAnsi="Calibri" w:cs="Calibri"/>
          <w:color w:val="000000"/>
          <w:sz w:val="27"/>
          <w:szCs w:val="27"/>
          <w:lang w:eastAsia="pt-BR"/>
        </w:rPr>
        <w:t xml:space="preserve"> e III em Aparecida de Goiânia e Residencial Iris Rezende IV, V e VI no Conjunto Vera Cruz em Goiânia.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12.6.3 Por meio da Nota Técnica nº 05/2024 – AGEHAB-ASCONT-20038 (</w:t>
      </w:r>
      <w:hyperlink r:id="rId31" w:tgtFrame="_blank" w:history="1">
        <w:r w:rsidRPr="003807ED">
          <w:rPr>
            <w:rFonts w:ascii="Calibri" w:eastAsia="Times New Roman" w:hAnsi="Calibri" w:cs="Calibri"/>
            <w:color w:val="0000FF"/>
            <w:sz w:val="27"/>
            <w:szCs w:val="27"/>
            <w:u w:val="single"/>
            <w:lang w:eastAsia="pt-BR"/>
          </w:rPr>
          <w:t>65208656</w:t>
        </w:r>
      </w:hyperlink>
      <w:r w:rsidRPr="003807ED">
        <w:rPr>
          <w:rFonts w:ascii="Calibri" w:eastAsia="Times New Roman" w:hAnsi="Calibri" w:cs="Calibri"/>
          <w:color w:val="000000"/>
          <w:sz w:val="27"/>
          <w:szCs w:val="27"/>
          <w:lang w:eastAsia="pt-BR"/>
        </w:rPr>
        <w:t>) Processo 202400031007406, considerando que Unidades Habitacionais construídas não integram o patrimônio da Agência Goiana de Habitação S/A e são objetos de doações às famílias goianas conforme Lei nº 21.219 do Estado de Goiás de 29 de Dezembro de 2021 Art. 4º O Programa Pra Ter Onde Morar, quanto à construção, tem o objetivo de construir ou concluir unidades habitacionais de interesse social em municípios do Estado de Goiás, para posterior doação a famílias vulneráveis social e economicamente.</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4"/>
          <w:szCs w:val="24"/>
          <w:lang w:eastAsia="pt-BR"/>
        </w:rPr>
        <w:t>12.6.4. No Exercício Social de 2025 ocorreu à conclusão documental referente construção das 50 (Cinquenta) unidades habitacionais no município de Damianópolis/Goiás, Processo 202200031001603, oriundo de Convênios Federais FGTS/CAIXA.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12.6.5. Em 2025, foram realizadas baixas de 2.692 (Duas mil, </w:t>
      </w:r>
      <w:proofErr w:type="gramStart"/>
      <w:r w:rsidRPr="003807ED">
        <w:rPr>
          <w:rFonts w:ascii="Calibri" w:eastAsia="Times New Roman" w:hAnsi="Calibri" w:cs="Calibri"/>
          <w:color w:val="000000"/>
          <w:sz w:val="27"/>
          <w:szCs w:val="27"/>
          <w:lang w:eastAsia="pt-BR"/>
        </w:rPr>
        <w:t>Seiscentos e Noventa</w:t>
      </w:r>
      <w:proofErr w:type="gramEnd"/>
      <w:r w:rsidRPr="003807ED">
        <w:rPr>
          <w:rFonts w:ascii="Calibri" w:eastAsia="Times New Roman" w:hAnsi="Calibri" w:cs="Calibri"/>
          <w:color w:val="000000"/>
          <w:sz w:val="27"/>
          <w:szCs w:val="27"/>
          <w:lang w:eastAsia="pt-BR"/>
        </w:rPr>
        <w:t xml:space="preserve"> e Duas) Unidades Habitacionais construídas oriunda do programa habitacional CASAS A CUSTO ZERO com recurso SUBVENÇÃO GOVERNAMENTAL oriundo do Tesouro do Estado de Goiás e Obras Retomadas com Recurso Ordinário do Estado de Goiás, totalizando R$ 332.101.556,05 (trezentos e trinta e dois milhões, cento e um mil quinhentos e cinquenta e seis reais e cinco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firstLine="1699"/>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12.7. Obras Concluídas – Programas Habitacionais - Convênios CAIXA/FGTS/AGEHAB, totalizando R$ 2.292.361,53 (dois milhões, duzentos e noventa e dois mil trezentos e sessenta e um reais e cinquenta e três centavos)</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379"/>
        <w:gridCol w:w="4487"/>
        <w:gridCol w:w="4187"/>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Obras Concluídas - Programas Sociais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Convênios Federais FGTS/CAIXA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2.292.361,53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2.292.361,53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0,00</w:t>
            </w:r>
          </w:p>
        </w:tc>
      </w:tr>
    </w:tbl>
    <w:p w:rsidR="003807ED" w:rsidRPr="003807ED" w:rsidRDefault="003807ED" w:rsidP="003807ED">
      <w:pPr>
        <w:spacing w:before="120" w:after="120" w:line="240" w:lineRule="auto"/>
        <w:ind w:left="120" w:right="120" w:firstLine="1699"/>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12.7.1. Refere-se a Convênio Firmado com Caixa Econômica Federal com recurso FGTS para construção de Unidade Habitacionais em Goiânia/Goiás - Residencial João Paulo II referente 230 Unidade Habitacionais, cujo documentos de término da obra, estão em fase de conclusões.</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13. Imobilizado e Intangível, totalizando R$ 7.026.451,05 (sete milhões, vinte e seis mil quatrocentos e cinquenta e um reais e cinco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222222"/>
          <w:sz w:val="27"/>
          <w:szCs w:val="27"/>
          <w:shd w:val="clear" w:color="auto" w:fill="FFFFFF"/>
          <w:lang w:eastAsia="pt-BR"/>
        </w:rPr>
        <w:t xml:space="preserve">13.1. A administração aplicou o teste de IMPAIRMENT elaborado pela empresa </w:t>
      </w:r>
      <w:proofErr w:type="spellStart"/>
      <w:r w:rsidRPr="003807ED">
        <w:rPr>
          <w:rFonts w:ascii="Calibri" w:eastAsia="Times New Roman" w:hAnsi="Calibri" w:cs="Calibri"/>
          <w:color w:val="222222"/>
          <w:sz w:val="27"/>
          <w:szCs w:val="27"/>
          <w:shd w:val="clear" w:color="auto" w:fill="FFFFFF"/>
          <w:lang w:eastAsia="pt-BR"/>
        </w:rPr>
        <w:t>Compliance</w:t>
      </w:r>
      <w:proofErr w:type="spellEnd"/>
      <w:r w:rsidRPr="003807ED">
        <w:rPr>
          <w:rFonts w:ascii="Calibri" w:eastAsia="Times New Roman" w:hAnsi="Calibri" w:cs="Calibri"/>
          <w:color w:val="222222"/>
          <w:sz w:val="27"/>
          <w:szCs w:val="27"/>
          <w:shd w:val="clear" w:color="auto" w:fill="FFFFFF"/>
          <w:lang w:eastAsia="pt-BR"/>
        </w:rPr>
        <w:t xml:space="preserve"> Auditores Independentes </w:t>
      </w:r>
      <w:proofErr w:type="spellStart"/>
      <w:r w:rsidRPr="003807ED">
        <w:rPr>
          <w:rFonts w:ascii="Calibri" w:eastAsia="Times New Roman" w:hAnsi="Calibri" w:cs="Calibri"/>
          <w:color w:val="222222"/>
          <w:sz w:val="27"/>
          <w:szCs w:val="27"/>
          <w:shd w:val="clear" w:color="auto" w:fill="FFFFFF"/>
          <w:lang w:eastAsia="pt-BR"/>
        </w:rPr>
        <w:t>Eireli</w:t>
      </w:r>
      <w:proofErr w:type="spellEnd"/>
      <w:r w:rsidRPr="003807ED">
        <w:rPr>
          <w:rFonts w:ascii="Calibri" w:eastAsia="Times New Roman" w:hAnsi="Calibri" w:cs="Calibri"/>
          <w:color w:val="222222"/>
          <w:sz w:val="27"/>
          <w:szCs w:val="27"/>
          <w:shd w:val="clear" w:color="auto" w:fill="FFFFFF"/>
          <w:lang w:eastAsia="pt-BR"/>
        </w:rPr>
        <w:t xml:space="preserve">, cujas conclusões são que os ativos não apresentaram perda por </w:t>
      </w:r>
      <w:proofErr w:type="spellStart"/>
      <w:r w:rsidRPr="003807ED">
        <w:rPr>
          <w:rFonts w:ascii="Calibri" w:eastAsia="Times New Roman" w:hAnsi="Calibri" w:cs="Calibri"/>
          <w:color w:val="222222"/>
          <w:sz w:val="27"/>
          <w:szCs w:val="27"/>
          <w:shd w:val="clear" w:color="auto" w:fill="FFFFFF"/>
          <w:lang w:eastAsia="pt-BR"/>
        </w:rPr>
        <w:t>Recuperabilidade</w:t>
      </w:r>
      <w:proofErr w:type="spellEnd"/>
      <w:r w:rsidRPr="003807ED">
        <w:rPr>
          <w:rFonts w:ascii="Calibri" w:eastAsia="Times New Roman" w:hAnsi="Calibri" w:cs="Calibri"/>
          <w:color w:val="222222"/>
          <w:sz w:val="27"/>
          <w:szCs w:val="27"/>
          <w:shd w:val="clear" w:color="auto" w:fill="FFFFFF"/>
          <w:lang w:eastAsia="pt-BR"/>
        </w:rPr>
        <w:t xml:space="preserve"> sendo que os valores apurados com base nos preços praticados no mercado ativo estão acima dos valores contabilizados, </w:t>
      </w:r>
      <w:r w:rsidRPr="003807ED">
        <w:rPr>
          <w:rFonts w:ascii="Calibri" w:eastAsia="Times New Roman" w:hAnsi="Calibri" w:cs="Calibri"/>
          <w:color w:val="000000"/>
          <w:sz w:val="27"/>
          <w:szCs w:val="27"/>
          <w:lang w:eastAsia="pt-BR"/>
        </w:rPr>
        <w:t xml:space="preserve">processo </w:t>
      </w:r>
      <w:proofErr w:type="gramStart"/>
      <w:r w:rsidRPr="003807ED">
        <w:rPr>
          <w:rFonts w:ascii="Calibri" w:eastAsia="Times New Roman" w:hAnsi="Calibri" w:cs="Calibri"/>
          <w:color w:val="000000"/>
          <w:sz w:val="27"/>
          <w:szCs w:val="27"/>
          <w:lang w:eastAsia="pt-BR"/>
        </w:rPr>
        <w:t>202200031005290 documento</w:t>
      </w:r>
      <w:proofErr w:type="gramEnd"/>
      <w:r w:rsidRPr="003807ED">
        <w:rPr>
          <w:rFonts w:ascii="Calibri" w:eastAsia="Times New Roman" w:hAnsi="Calibri" w:cs="Calibri"/>
          <w:color w:val="000000"/>
          <w:sz w:val="27"/>
          <w:szCs w:val="27"/>
          <w:lang w:eastAsia="pt-BR"/>
        </w:rPr>
        <w:t xml:space="preserve"> 35871229.</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13.2. Administração realizou avaliação acerca da Necessidade de Reconhecimento de Perdas por Redução ao Valor Recuperável em 31 de Dezembro de 2024, assim constatou não haver indícios de perda por desvalorização dos bens da Agência Goiana de Habitação S/A, processo 202400005031714 documento (</w:t>
      </w:r>
      <w:hyperlink r:id="rId32" w:tgtFrame="_blank" w:history="1">
        <w:r w:rsidRPr="003807ED">
          <w:rPr>
            <w:rFonts w:ascii="Calibri" w:eastAsia="Times New Roman" w:hAnsi="Calibri" w:cs="Calibri"/>
            <w:color w:val="0000FF"/>
            <w:sz w:val="27"/>
            <w:szCs w:val="27"/>
            <w:u w:val="single"/>
            <w:lang w:eastAsia="pt-BR"/>
          </w:rPr>
          <w:t>68596179</w:t>
        </w:r>
      </w:hyperlink>
      <w:r w:rsidRPr="003807ED">
        <w:rPr>
          <w:rFonts w:ascii="Calibri" w:eastAsia="Times New Roman" w:hAnsi="Calibri" w:cs="Calibri"/>
          <w:color w:val="000000"/>
          <w:sz w:val="27"/>
          <w:szCs w:val="27"/>
          <w:lang w:eastAsia="pt-BR"/>
        </w:rPr>
        <w:t>).</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13.3. Administração realizou avaliação acerca da Necessidade de Reconhecimento de Perdas por Redução ao Valor Recuperável em 31 de Dezembro de 2025, assim constatou não haver indícios de perda por desvalorização dos bens da Agência Goiana de Habitação S/A, processo 202500031009428 documento (</w:t>
      </w:r>
      <w:hyperlink r:id="rId33" w:tgtFrame="_blank" w:history="1">
        <w:r w:rsidRPr="003807ED">
          <w:rPr>
            <w:rFonts w:ascii="Calibri" w:eastAsia="Times New Roman" w:hAnsi="Calibri" w:cs="Calibri"/>
            <w:color w:val="0000FF"/>
            <w:sz w:val="27"/>
            <w:szCs w:val="27"/>
            <w:u w:val="single"/>
            <w:lang w:eastAsia="pt-BR"/>
          </w:rPr>
          <w:t>83986284</w:t>
        </w:r>
      </w:hyperlink>
      <w:r w:rsidRPr="003807ED">
        <w:rPr>
          <w:rFonts w:ascii="Calibri" w:eastAsia="Times New Roman" w:hAnsi="Calibri" w:cs="Calibri"/>
          <w:color w:val="000000"/>
          <w:sz w:val="27"/>
          <w:szCs w:val="27"/>
          <w:lang w:eastAsia="pt-BR"/>
        </w:rPr>
        <w:t>).</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13.4. A Agência Goiana de Habitação S/A - AGEHAB através das comissões de inventários dos bens imóveis e móveis realizou inventário do Exercício Social de 2025 conforme processo 202500031009428 conforme documentos Deliberação da Diretoria Executiva 271/2025 - AGEHAB (</w:t>
      </w:r>
      <w:hyperlink r:id="rId34" w:tgtFrame="_blank" w:history="1">
        <w:r w:rsidRPr="003807ED">
          <w:rPr>
            <w:rFonts w:ascii="Calibri" w:eastAsia="Times New Roman" w:hAnsi="Calibri" w:cs="Calibri"/>
            <w:color w:val="0000FF"/>
            <w:sz w:val="27"/>
            <w:szCs w:val="27"/>
            <w:u w:val="single"/>
            <w:lang w:eastAsia="pt-BR"/>
          </w:rPr>
          <w:t>81543957</w:t>
        </w:r>
      </w:hyperlink>
      <w:r w:rsidRPr="003807ED">
        <w:rPr>
          <w:rFonts w:ascii="Calibri" w:eastAsia="Times New Roman" w:hAnsi="Calibri" w:cs="Calibri"/>
          <w:color w:val="000000"/>
          <w:sz w:val="27"/>
          <w:szCs w:val="27"/>
          <w:lang w:eastAsia="pt-BR"/>
        </w:rPr>
        <w:t>), ( </w:t>
      </w:r>
      <w:hyperlink r:id="rId35" w:tgtFrame="_blank" w:history="1">
        <w:r w:rsidRPr="003807ED">
          <w:rPr>
            <w:rFonts w:ascii="Calibri" w:eastAsia="Times New Roman" w:hAnsi="Calibri" w:cs="Calibri"/>
            <w:color w:val="0000FF"/>
            <w:sz w:val="27"/>
            <w:szCs w:val="27"/>
            <w:u w:val="single"/>
            <w:lang w:eastAsia="pt-BR"/>
          </w:rPr>
          <w:t>83831000</w:t>
        </w:r>
      </w:hyperlink>
      <w:r w:rsidRPr="003807ED">
        <w:rPr>
          <w:rFonts w:ascii="Calibri" w:eastAsia="Times New Roman" w:hAnsi="Calibri" w:cs="Calibri"/>
          <w:color w:val="000000"/>
          <w:sz w:val="27"/>
          <w:szCs w:val="27"/>
          <w:lang w:eastAsia="pt-BR"/>
        </w:rPr>
        <w:t>), (</w:t>
      </w:r>
      <w:hyperlink r:id="rId36" w:tgtFrame="_blank" w:history="1">
        <w:r w:rsidRPr="003807ED">
          <w:rPr>
            <w:rFonts w:ascii="Calibri" w:eastAsia="Times New Roman" w:hAnsi="Calibri" w:cs="Calibri"/>
            <w:color w:val="0000FF"/>
            <w:sz w:val="27"/>
            <w:szCs w:val="27"/>
            <w:u w:val="single"/>
            <w:lang w:eastAsia="pt-BR"/>
          </w:rPr>
          <w:t>83977354</w:t>
        </w:r>
      </w:hyperlink>
      <w:r w:rsidRPr="003807ED">
        <w:rPr>
          <w:rFonts w:ascii="Calibri" w:eastAsia="Times New Roman" w:hAnsi="Calibri" w:cs="Calibri"/>
          <w:color w:val="000000"/>
          <w:sz w:val="27"/>
          <w:szCs w:val="27"/>
          <w:lang w:eastAsia="pt-BR"/>
        </w:rPr>
        <w:t>), (</w:t>
      </w:r>
      <w:hyperlink r:id="rId37" w:tgtFrame="_blank" w:history="1">
        <w:r w:rsidRPr="003807ED">
          <w:rPr>
            <w:rFonts w:ascii="Calibri" w:eastAsia="Times New Roman" w:hAnsi="Calibri" w:cs="Calibri"/>
            <w:color w:val="0000FF"/>
            <w:sz w:val="27"/>
            <w:szCs w:val="27"/>
            <w:u w:val="single"/>
            <w:lang w:eastAsia="pt-BR"/>
          </w:rPr>
          <w:t>83978758</w:t>
        </w:r>
      </w:hyperlink>
      <w:r w:rsidRPr="003807ED">
        <w:rPr>
          <w:rFonts w:ascii="Calibri" w:eastAsia="Times New Roman" w:hAnsi="Calibri" w:cs="Calibri"/>
          <w:color w:val="000000"/>
          <w:sz w:val="27"/>
          <w:szCs w:val="27"/>
          <w:lang w:eastAsia="pt-BR"/>
        </w:rPr>
        <w:t>), ( </w:t>
      </w:r>
      <w:hyperlink r:id="rId38" w:tgtFrame="_blank" w:history="1">
        <w:r w:rsidRPr="003807ED">
          <w:rPr>
            <w:rFonts w:ascii="Calibri" w:eastAsia="Times New Roman" w:hAnsi="Calibri" w:cs="Calibri"/>
            <w:color w:val="0000FF"/>
            <w:sz w:val="27"/>
            <w:szCs w:val="27"/>
            <w:u w:val="single"/>
            <w:lang w:eastAsia="pt-BR"/>
          </w:rPr>
          <w:t>83982209</w:t>
        </w:r>
      </w:hyperlink>
      <w:r w:rsidRPr="003807ED">
        <w:rPr>
          <w:rFonts w:ascii="Calibri" w:eastAsia="Times New Roman" w:hAnsi="Calibri" w:cs="Calibri"/>
          <w:color w:val="000000"/>
          <w:sz w:val="27"/>
          <w:szCs w:val="27"/>
          <w:lang w:eastAsia="pt-BR"/>
        </w:rPr>
        <w:t>).</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13.5. Imobilizado, totalizando R$ 2.400.086,33 (dois milhões, quatrocentos mil e oitenta e seis reais e trinta e três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13.5.1 O Imobilizado está demonstrado pelo custo de aquisição e os bens são destinados ao funcionamento normal da entidade, os bens sujeitos a depreciação foram depreciados pelo método linear a taxas que levam em conta seu tempo de vida útil econômica.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proofErr w:type="gramStart"/>
      <w:r w:rsidRPr="003807ED">
        <w:rPr>
          <w:rFonts w:ascii="Calibri" w:eastAsia="Times New Roman" w:hAnsi="Calibri" w:cs="Calibri"/>
          <w:color w:val="000000"/>
          <w:sz w:val="27"/>
          <w:szCs w:val="27"/>
          <w:lang w:eastAsia="pt-BR"/>
        </w:rPr>
        <w:t>13.5.2 Os</w:t>
      </w:r>
      <w:proofErr w:type="gramEnd"/>
      <w:r w:rsidRPr="003807ED">
        <w:rPr>
          <w:rFonts w:ascii="Calibri" w:eastAsia="Times New Roman" w:hAnsi="Calibri" w:cs="Calibri"/>
          <w:color w:val="000000"/>
          <w:sz w:val="27"/>
          <w:szCs w:val="27"/>
          <w:lang w:eastAsia="pt-BR"/>
        </w:rPr>
        <w:t xml:space="preserve"> bens são devidamente identificados por plaquetas, alocados por unidades administrativas e centos de custos.</w:t>
      </w:r>
    </w:p>
    <w:tbl>
      <w:tblPr>
        <w:tblW w:w="2160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8482"/>
        <w:gridCol w:w="3472"/>
        <w:gridCol w:w="2578"/>
        <w:gridCol w:w="3534"/>
        <w:gridCol w:w="3534"/>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Contas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Total de Aquisições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Depreciações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Líquido 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Líquido 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Mobiliário em Geral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1.127.705,86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-726.750,65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400.955,21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336.867,81</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Aparelhos e Equipamentos de Comunicação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122.050,94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-100.237,66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21.813,28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53.378,15</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Equipamentos de Processamento de Dados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4.567.635,73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-2.980.317,36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1.587.318,37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1.536.907,57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Máquinas, Instalações e Utensílios de Escritório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245.593,47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-188.213,85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57.379,62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92.106,70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Aparelhos e Equipamentos de Medição e Orientação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421.399,99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-180.972,60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240.427,39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108.196,99</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Terrenos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30.134,70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30.134,70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30.134,70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Edificações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123.309,16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-84.633,30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38.675,86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40.973,38</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Benfeitoria em Imóveis de Terceiros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146.858,96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-123.477,06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23.381,90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27.226,82</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6.784.688,81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-4.384.602,48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2.400.086,33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2.225.792,12</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13.6. Intangível, totalizando R$ 4.626.364,72 (quatro milhões, seiscentos e vinte e seis mil trezentos e sessenta e quatro reais e setenta e dois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13.6.1. No intangível classificado os sistemas operacionais (SOFTWARE), são licenças por tempo indeterminado de uso “perpétua”, adquiridos em 2016 e em implantação durante o ano de 2017, os sistemas corporativos ERP de integração contábil, financeira, departamento pessoal, almoxarifado, Amortização é calculada pelo método linear com base na vida útil e as despesas associadas à sua manutenção são reconhecidas como despesas quando incorridas.</w:t>
      </w:r>
    </w:p>
    <w:tbl>
      <w:tblPr>
        <w:tblW w:w="2160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601"/>
        <w:gridCol w:w="5175"/>
        <w:gridCol w:w="3663"/>
        <w:gridCol w:w="5021"/>
        <w:gridCol w:w="5140"/>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Contas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Total  de Aquisições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Amortização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Líquido 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Líquido 31/12/2024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Software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7.078.508,84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-2.452.144,12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4.626.364,72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2.902.040,88</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7.078.508,84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-2.452.144,12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4.626.364,72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2.902.040,88</w:t>
            </w:r>
          </w:p>
        </w:tc>
      </w:tr>
    </w:tbl>
    <w:p w:rsidR="003807ED" w:rsidRPr="003807ED" w:rsidRDefault="003807ED" w:rsidP="003807ED">
      <w:pPr>
        <w:spacing w:after="0" w:line="240" w:lineRule="auto"/>
        <w:rPr>
          <w:rFonts w:ascii="Times New Roman" w:eastAsia="Times New Roman" w:hAnsi="Times New Roman" w:cs="Times New Roman"/>
          <w:vanish/>
          <w:sz w:val="24"/>
          <w:szCs w:val="24"/>
          <w:lang w:eastAsia="pt-BR"/>
        </w:rPr>
      </w:pPr>
    </w:p>
    <w:tbl>
      <w:tblPr>
        <w:tblW w:w="140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4040"/>
      </w:tblGrid>
      <w:tr w:rsidR="003807ED" w:rsidRPr="003807ED" w:rsidTr="003807ED">
        <w:tc>
          <w:tcPr>
            <w:tcW w:w="0" w:type="auto"/>
            <w:vAlign w:val="center"/>
            <w:hideMark/>
          </w:tcPr>
          <w:p w:rsidR="003807ED" w:rsidRPr="003807ED" w:rsidRDefault="003807ED" w:rsidP="003807ED">
            <w:pPr>
              <w:spacing w:after="0" w:line="240" w:lineRule="auto"/>
              <w:rPr>
                <w:rFonts w:ascii="Times New Roman" w:eastAsia="Times New Roman" w:hAnsi="Times New Roman" w:cs="Times New Roman"/>
                <w:sz w:val="24"/>
                <w:szCs w:val="24"/>
                <w:lang w:eastAsia="pt-BR"/>
              </w:rPr>
            </w:pP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13.6.1.1 Contratação empresa </w:t>
      </w:r>
      <w:proofErr w:type="spellStart"/>
      <w:r w:rsidRPr="003807ED">
        <w:rPr>
          <w:rFonts w:ascii="Calibri" w:eastAsia="Times New Roman" w:hAnsi="Calibri" w:cs="Calibri"/>
          <w:color w:val="000000"/>
          <w:sz w:val="27"/>
          <w:szCs w:val="27"/>
          <w:lang w:eastAsia="pt-BR"/>
        </w:rPr>
        <w:t>Logiks</w:t>
      </w:r>
      <w:proofErr w:type="spellEnd"/>
      <w:r w:rsidRPr="003807ED">
        <w:rPr>
          <w:rFonts w:ascii="Calibri" w:eastAsia="Times New Roman" w:hAnsi="Calibri" w:cs="Calibri"/>
          <w:color w:val="000000"/>
          <w:sz w:val="27"/>
          <w:szCs w:val="27"/>
          <w:lang w:eastAsia="pt-BR"/>
        </w:rPr>
        <w:t xml:space="preserve"> Consultoria e Serviços em Tecnologia da Informação </w:t>
      </w:r>
      <w:proofErr w:type="spellStart"/>
      <w:r w:rsidRPr="003807ED">
        <w:rPr>
          <w:rFonts w:ascii="Calibri" w:eastAsia="Times New Roman" w:hAnsi="Calibri" w:cs="Calibri"/>
          <w:color w:val="000000"/>
          <w:sz w:val="27"/>
          <w:szCs w:val="27"/>
          <w:lang w:eastAsia="pt-BR"/>
        </w:rPr>
        <w:t>Ltda</w:t>
      </w:r>
      <w:proofErr w:type="spellEnd"/>
      <w:r w:rsidRPr="003807ED">
        <w:rPr>
          <w:rFonts w:ascii="Calibri" w:eastAsia="Times New Roman" w:hAnsi="Calibri" w:cs="Calibri"/>
          <w:color w:val="000000"/>
          <w:sz w:val="27"/>
          <w:szCs w:val="27"/>
          <w:lang w:eastAsia="pt-BR"/>
        </w:rPr>
        <w:t>, Processo 2022000310004166 para desenvolvimento de sistemas internos.</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PASSIVO</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PASSIVO CIRCULANTE</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14. Obrigações Trabalhistas, Previdenciárias e Tributárias, totalizando R$ 4.244.096,79 (quatro milhões, duzentos e quarenta e quatro mil e noventa e seis reais e setenta e nove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14.1. Referem-se aos valores provisionados decorrentes da folha de pagamento, valores descontados dos servidores (Empréstimo Consignado), Contribuições Previdenciárias, Fundo Garantia do Tempo de Serviço (FGTS), retenções de impostos federais/municipais, ISS, PIS, COFINS que serão recolhidos nos períodos subsequentes, apropriados pelo regime de competência.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14.2.  Os valores da folha de pagamento, os impostos e contribuições foram devidamente pagos em Janeiro/2026.</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2158"/>
        <w:gridCol w:w="4084"/>
        <w:gridCol w:w="3811"/>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Contas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Obrigações Trabalhistas e Consignações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207.618,73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124.150,92</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Férias a Pagar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6.361,11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Empréstimo Consignado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61.785,63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Empregados Cedidos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139.471,99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124.150,92</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Contas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Obrigações Sociais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2.423.417,76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532.490,97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Contribuição Previdenciária - INSS a Recolher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1.121.076,34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7.341,83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INSS a Recolher - Serviços Terceirizados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1.035.773,36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525.149,14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FGTS a Recolher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266.568,06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Contas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Obrigações Tributárias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1.613.060,30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142.469,06</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IRRF a Recolher - Empregados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1.102.084,81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5.289,22</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IRRF a Recolher - Terceiros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98.092,07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19.046,73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ISS Próprio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95,50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95,00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ISS - Terceiros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1.379,56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875,75</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PIS/COFINS/CSLL  Terceiros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355.160,19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70.291,05</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PIS - Não Cumulativo a Recolher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6.851,60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5.748,67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COFINS  Não Cumulativo a Recolher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37.317,91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29.544,36</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Retenções - Cooperativa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12.078,66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11.578,28</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4.244.096,79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799.110,95</w:t>
            </w:r>
          </w:p>
        </w:tc>
      </w:tr>
    </w:tbl>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15. Contas a Pagar, totalizando R$ 3.061.276,75 (três milhões, sessenta e um mil duzentos e setenta e seis reais e setenta e cinco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15.1. São obrigações a pagar por bens ou serviços foram adquiridos no curso ordinário dos negócios, sendo classificados como passivo circulante, exceto quando o prazo de vencimento for superior a 12 meses após a data do balanço, quando são apresentadas como passivo não circulante.</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15.2. Os saldos das contas a pagar aos fornecedores estão aos seus valores justos de mercado, dado o curto prazo das operações realizadas e considerando que não há ocorrência de atrasos na quitação e por consequência não há ocorrência de pagamento de juros/multas.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15.3. Considerando o fluxo financeiro baseados normas aplicáveis a execução orçamentária e financeira do Estado de Goiás, os valores contabilizados em contas a pagar, referem-se: </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2057"/>
        <w:gridCol w:w="3998"/>
        <w:gridCol w:w="3998"/>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Contas a Pagar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Fornecedores de Bens e Serviços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423.503,67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410.724,49</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Fornecedores de Bens e Serviços a faturar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2.562.783,08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677.962,68</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Diárias a Pagar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74.990,00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47.055,00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3.061.276,75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1.135.742,17</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 Provisões das despesas, considerando o regime de competência.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16. Provisões Trabalhistas, totalizando R$ 6.920.347,49 (seis milhões, novecentos e vinte mil trezentos e quarenta e sete reais e quarenta e nove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16.1 Provisões Trabalhistas - Proveniente de registros das seguintes contingências: Provisão 13º Salário e Férias, 1/3 Férias, contém os Impostos (Contribuição Previdenciária e FGTS), sendo registradas pelo regime de competência as obrigações com férias, sendo baixados no momento do gozo das férias.</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8895"/>
        <w:gridCol w:w="5579"/>
        <w:gridCol w:w="5579"/>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Provisões Trabalhistas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Provisões de Férias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6.920.347,49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6.273.793,41</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6.920.347,49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6.273.793,41</w:t>
            </w:r>
          </w:p>
        </w:tc>
      </w:tr>
    </w:tbl>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17. Subvenção Governamental a Realizar, totalizando R$ 251.705.646,32 (duzentos e cinquenta e um milhões, setecentos e cinco mil seiscentos e quarenta e seis reais e trinta e dois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17.1. Os valores de Subvenção Governamental em 31/12/2025 no total de R$ 251.705.646,32 (duzentos e cinquenta e um milhões, setecentos e cinco mil seiscentos e quarenta e seis reais e trinta e dois centavos) conforme demonstrado.</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2529"/>
        <w:gridCol w:w="3762"/>
        <w:gridCol w:w="3762"/>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Subvenção Governamental a Realizar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Restos a Pagar - Fonte Orçamentária PROTEGE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211.470.374,54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153.391.841,62</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Restos a Pagar -  Fonte Orçamentária Recurso Ordinário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7.511.006,17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6.522.055,05</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Recursos Convênio FAR/Fonte Orçamentária PROTEGE (c)</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32.724.265,61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251.705.646,32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159.913.896,67</w:t>
            </w:r>
          </w:p>
        </w:tc>
      </w:tr>
    </w:tbl>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proofErr w:type="gramStart"/>
      <w:r w:rsidRPr="003807ED">
        <w:rPr>
          <w:rFonts w:ascii="Calibri" w:eastAsia="Times New Roman" w:hAnsi="Calibri" w:cs="Calibri"/>
          <w:color w:val="000000"/>
          <w:sz w:val="27"/>
          <w:szCs w:val="27"/>
          <w:lang w:eastAsia="pt-BR"/>
        </w:rPr>
        <w:t>a) Em</w:t>
      </w:r>
      <w:proofErr w:type="gramEnd"/>
      <w:r w:rsidRPr="003807ED">
        <w:rPr>
          <w:rFonts w:ascii="Calibri" w:eastAsia="Times New Roman" w:hAnsi="Calibri" w:cs="Calibri"/>
          <w:color w:val="000000"/>
          <w:sz w:val="27"/>
          <w:szCs w:val="27"/>
          <w:lang w:eastAsia="pt-BR"/>
        </w:rPr>
        <w:t xml:space="preserve"> relação as movimentações financeiras dos Restos a Pagar (RAP) - Fonte Protege em 2025, foram utilizados os valores de R$ 141.670.082,22 (cento e quarenta e um milhões, seiscentos e setenta mil e oitenta e dois reais e vinte e dois centavos), incluindo os empenhos cancelados no período, conforme demonstrado, apurado saldo em estoque de R$ 211.470.374,54 (duzentos e onze milhões, quatrocentos e setenta mil trezentos e setenta e quatro reais e cinquenta e quatro centavos).</w:t>
      </w:r>
    </w:p>
    <w:tbl>
      <w:tblPr>
        <w:tblW w:w="1723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405"/>
        <w:gridCol w:w="2805"/>
        <w:gridCol w:w="3023"/>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Saldo Restos a Pagar em 31/12/2024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153.391.841,62</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Saldos utilizados 01/01 a 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141.670.082,22</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Construção de UH</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92.356.898,03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Regularização Fundiária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566.168,71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Bens Mobiliários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218.800,00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Empenhos Cancelados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48.528.215,48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Transferência (Tesouro Estadual) dos Saldos Empenhados de 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199.748.615,14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Saldo Restos a Pagar em 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211.470.374,54</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b)  Refere-se Restos a Pagar (RAP) - Fonte Recurso Ordinário do Estado de Goiás, tendo como finalidade pagamento da folha de pagamento e manutenção administrativa da </w:t>
      </w:r>
      <w:proofErr w:type="spellStart"/>
      <w:r w:rsidRPr="003807ED">
        <w:rPr>
          <w:rFonts w:ascii="Calibri" w:eastAsia="Times New Roman" w:hAnsi="Calibri" w:cs="Calibri"/>
          <w:color w:val="000000"/>
          <w:sz w:val="27"/>
          <w:szCs w:val="27"/>
          <w:lang w:eastAsia="pt-BR"/>
        </w:rPr>
        <w:t>Agehab</w:t>
      </w:r>
      <w:proofErr w:type="spellEnd"/>
      <w:r w:rsidRPr="003807ED">
        <w:rPr>
          <w:rFonts w:ascii="Calibri" w:eastAsia="Times New Roman" w:hAnsi="Calibri" w:cs="Calibri"/>
          <w:color w:val="000000"/>
          <w:sz w:val="27"/>
          <w:szCs w:val="27"/>
          <w:lang w:eastAsia="pt-BR"/>
        </w:rPr>
        <w:t>.</w:t>
      </w:r>
    </w:p>
    <w:tbl>
      <w:tblPr>
        <w:tblW w:w="7354"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125"/>
        <w:gridCol w:w="3229"/>
      </w:tblGrid>
      <w:tr w:rsidR="003807ED" w:rsidRPr="003807ED" w:rsidTr="003807ED">
        <w:trPr>
          <w:trHeight w:val="300"/>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Fonte Orçamentária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Valor</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15000100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7.511.006,17</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c) </w:t>
      </w:r>
      <w:proofErr w:type="gramStart"/>
      <w:r w:rsidRPr="003807ED">
        <w:rPr>
          <w:rFonts w:ascii="Calibri" w:eastAsia="Times New Roman" w:hAnsi="Calibri" w:cs="Calibri"/>
          <w:color w:val="000000"/>
          <w:sz w:val="27"/>
          <w:szCs w:val="27"/>
          <w:lang w:eastAsia="pt-BR"/>
        </w:rPr>
        <w:t> Refere-se</w:t>
      </w:r>
      <w:proofErr w:type="gramEnd"/>
      <w:r w:rsidRPr="003807ED">
        <w:rPr>
          <w:rFonts w:ascii="Calibri" w:eastAsia="Times New Roman" w:hAnsi="Calibri" w:cs="Calibri"/>
          <w:color w:val="000000"/>
          <w:sz w:val="27"/>
          <w:szCs w:val="27"/>
          <w:lang w:eastAsia="pt-BR"/>
        </w:rPr>
        <w:t xml:space="preserve"> aos valores repassados pelo Fundo Protege por meio do Tesouro do Estado de Goiás, em contas bancárias especificas em nome da Agência Goiana de Habitação S/A, considerando convênios celebrados entre Caixa Econômica Federal - Fundo FAR para construção de 1.488 Unidades Habitacionais conforme demonstrado. Sendo contabilizados no passivo circulante e serão transferidos para as contas de resultado conforme os pagamentos das medições.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Em 31/12/2025 apurados o total de R$ 32.724.265,61 (trinta e dois milhões, setecentos e vinte e quatro mil duzentos e sessenta e cinco reais e sessenta e um centavos) em contas bancárias especificas.</w:t>
      </w:r>
    </w:p>
    <w:tbl>
      <w:tblPr>
        <w:tblW w:w="15687"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14"/>
        <w:gridCol w:w="5040"/>
        <w:gridCol w:w="615"/>
        <w:gridCol w:w="1639"/>
        <w:gridCol w:w="2677"/>
        <w:gridCol w:w="1356"/>
        <w:gridCol w:w="2270"/>
        <w:gridCol w:w="1676"/>
      </w:tblGrid>
      <w:tr w:rsidR="003807ED" w:rsidRPr="003807ED" w:rsidTr="003807ED">
        <w:trPr>
          <w:trHeight w:val="255"/>
          <w:tblHeader/>
        </w:trPr>
        <w:tc>
          <w:tcPr>
            <w:tcW w:w="0" w:type="auto"/>
            <w:gridSpan w:val="8"/>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lang w:eastAsia="pt-BR"/>
              </w:rPr>
            </w:pPr>
            <w:r w:rsidRPr="003807ED">
              <w:rPr>
                <w:rFonts w:ascii="Calibri" w:eastAsia="Times New Roman" w:hAnsi="Calibri" w:cs="Calibri"/>
                <w:b/>
                <w:bCs/>
                <w:color w:val="000000"/>
                <w:lang w:eastAsia="pt-BR"/>
              </w:rPr>
              <w:t>CONVÊNIOS CEF/FAR RECURSOS FINANCEIROS PROTEGE EM 31/12/2025</w:t>
            </w:r>
          </w:p>
        </w:tc>
      </w:tr>
      <w:tr w:rsidR="003807ED" w:rsidRPr="003807ED" w:rsidTr="003807ED">
        <w:trPr>
          <w:trHeight w:val="76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nº</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Empreendimento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UH</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Valor Contratado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proofErr w:type="spellStart"/>
            <w:r w:rsidRPr="003807ED">
              <w:rPr>
                <w:rFonts w:ascii="Calibri" w:eastAsia="Times New Roman" w:hAnsi="Calibri" w:cs="Calibri"/>
                <w:b/>
                <w:bCs/>
                <w:color w:val="000000"/>
                <w:sz w:val="18"/>
                <w:szCs w:val="18"/>
                <w:lang w:eastAsia="pt-BR"/>
              </w:rPr>
              <w:t>InfraInterna</w:t>
            </w:r>
            <w:proofErr w:type="spellEnd"/>
            <w:r w:rsidRPr="003807ED">
              <w:rPr>
                <w:rFonts w:ascii="Calibri" w:eastAsia="Times New Roman" w:hAnsi="Calibri" w:cs="Calibri"/>
                <w:b/>
                <w:bCs/>
                <w:color w:val="000000"/>
                <w:sz w:val="18"/>
                <w:szCs w:val="18"/>
                <w:lang w:eastAsia="pt-BR"/>
              </w:rPr>
              <w:t>(Obras Incidentes)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Valor Medido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Rendimentos Financeiros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SALDO EM CONTA</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VILLA ROMANA - APARECIDA DE GOIÂNIA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8.814.424,50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6.650.732,92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4.891.614,07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241.589,87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 2.000.708,72</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RESIDENCIAL IRIS REZENDE IV - CONJUNTO VERA CRUZ</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240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9.507.054,80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7.850.373,41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5.160.835,48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356.150,99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3.045.688,92</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RESIDENCIAL ALTO DA BOA VISTA I - APARECIDA DE GOIÂNIA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8.827.342,69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7.546.838,80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941.046,95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402.635,60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6.008.427,45</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RESIDENCIAL ALTO DA BOA VISTA III - APARECIDA DE GOIÂNIA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8.824.908,87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7.544.404,98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2.786.903,20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386.862,70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5.144.364,48</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RESIDENCIAL IRIS REZENDE V - CONJUNTO VERA CRUZ</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256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9.636.641,58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7.702.095,06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2.490.087,33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406.998,65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5.619.006,38</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RESIDENCIAL IRIS REZENDE VI - CONJUNTO VERA CRUZ</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10.297.433,36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7.665.638,52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433.108,57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456.488,68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 7.689.018,63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RESIDENCIAL ALTO DA BOA VISTA II - APARECIDA DE GOIÂNIA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8.815.815,29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7.535.311,40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4.644.765,95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326.505,58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3.217.051,03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1488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64.723.621,09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52.495.395,09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22.348.361,55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2.577.232,07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32.724.265,61</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18. Créditos para Recursos Vinculados, totalizando R$ 4.687.468,16 (quatro milhões, seiscentos e oitenta e sete mil quatrocentos e sessenta e oito reais e dezesseis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18.1. Os Créditos são Recursos Vinculados à Fonte Orçamentária Convênios Federais referente aos contratos de parcerias União/CEF com utilização de recurso do FGTS para subsidiar construção de Unidades Habitacionais, Equipamentos Comunitários e pagamentos de serviços sociais.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18.2. São saldos financeiros vinculados aos Convênios ativos às Contas Correntes, Aplicações Financeiras e Poupança referente aos termos de Cooperação e Parceira CAIXA para construção dos empreendimentos João Paulo </w:t>
      </w:r>
      <w:proofErr w:type="gramStart"/>
      <w:r w:rsidRPr="003807ED">
        <w:rPr>
          <w:rFonts w:ascii="Calibri" w:eastAsia="Times New Roman" w:hAnsi="Calibri" w:cs="Calibri"/>
          <w:color w:val="000000"/>
          <w:sz w:val="27"/>
          <w:szCs w:val="27"/>
          <w:lang w:eastAsia="pt-BR"/>
        </w:rPr>
        <w:t>II,  Trabalho</w:t>
      </w:r>
      <w:proofErr w:type="gramEnd"/>
      <w:r w:rsidRPr="003807ED">
        <w:rPr>
          <w:rFonts w:ascii="Calibri" w:eastAsia="Times New Roman" w:hAnsi="Calibri" w:cs="Calibri"/>
          <w:color w:val="000000"/>
          <w:sz w:val="27"/>
          <w:szCs w:val="27"/>
          <w:lang w:eastAsia="pt-BR"/>
        </w:rPr>
        <w:t xml:space="preserve"> Social e Gestão Condominial do Nelson Mandela, que serão baixados conforme a utilização dos mesmos.</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3567"/>
        <w:gridCol w:w="3243"/>
        <w:gridCol w:w="3243"/>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Créditos para Recursos Vinculados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Programas Construção Unidades Habitacionais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4.318.869,30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3.958.447,59</w:t>
            </w:r>
          </w:p>
        </w:tc>
      </w:tr>
      <w:tr w:rsidR="003807ED" w:rsidRPr="003807ED" w:rsidTr="003807ED">
        <w:trPr>
          <w:trHeight w:val="36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Convênio Ministério das Cidades e Caixa Econômica Federal/FAR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368.598,86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468.663,11</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4.687.468,16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4.427.110,70</w:t>
            </w:r>
          </w:p>
        </w:tc>
      </w:tr>
    </w:tbl>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PASSIVO NÃO-CIRCULANTE</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19. PASSIVOS CONTINGENTES, Totalizando R$ 1.047.000,00 (um milhão e quarenta e sete mil reais)</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PASSIVO PROVÁVEL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19.1. A AGEHAB é parte integrante de diversos processos com causas cíveis, trabalhistas classificadas como prováveis de perdas pela Procuradoria Jurídica, devidamente provisionadas de acordo com o Comitê de Pronunciamento Contábil nº 25.</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proofErr w:type="gramStart"/>
      <w:r w:rsidRPr="003807ED">
        <w:rPr>
          <w:rFonts w:ascii="Calibri" w:eastAsia="Times New Roman" w:hAnsi="Calibri" w:cs="Calibri"/>
          <w:color w:val="000000"/>
          <w:sz w:val="27"/>
          <w:szCs w:val="27"/>
          <w:lang w:eastAsia="pt-BR"/>
        </w:rPr>
        <w:t>a) Refere</w:t>
      </w:r>
      <w:proofErr w:type="gramEnd"/>
      <w:r w:rsidRPr="003807ED">
        <w:rPr>
          <w:rFonts w:ascii="Calibri" w:eastAsia="Times New Roman" w:hAnsi="Calibri" w:cs="Calibri"/>
          <w:color w:val="000000"/>
          <w:sz w:val="27"/>
          <w:szCs w:val="27"/>
          <w:lang w:eastAsia="pt-BR"/>
        </w:rPr>
        <w:t>–se há 22 (Vinte e Dois) Processos Judiciais classificados como PASSIVO PROVÁVEL, sendo 20 (Vinte) Processos Cíveis e 02(Dois) Processos Fiscais. Processo 202200031006938.</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2143"/>
        <w:gridCol w:w="3955"/>
        <w:gridCol w:w="3955"/>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Provisões para Contingências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xml:space="preserve">Provisões para Contingências Processos </w:t>
            </w:r>
            <w:proofErr w:type="spellStart"/>
            <w:r w:rsidRPr="003807ED">
              <w:rPr>
                <w:rFonts w:ascii="Calibri" w:eastAsia="Times New Roman" w:hAnsi="Calibri" w:cs="Calibri"/>
                <w:color w:val="000000"/>
                <w:sz w:val="18"/>
                <w:szCs w:val="18"/>
                <w:lang w:eastAsia="pt-BR"/>
              </w:rPr>
              <w:t>Civeis</w:t>
            </w:r>
            <w:proofErr w:type="spellEnd"/>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807.000,00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2.088.000,00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Provisões para Contingências Processos Fiscais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240.000,00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1.047.000,00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2.088.000,00</w:t>
            </w:r>
          </w:p>
        </w:tc>
      </w:tr>
    </w:tbl>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20. PASSIVO POSSÍVEL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20.1. A AGEHAB é parte integrante em 212 </w:t>
      </w:r>
      <w:proofErr w:type="gramStart"/>
      <w:r w:rsidRPr="003807ED">
        <w:rPr>
          <w:rFonts w:ascii="Calibri" w:eastAsia="Times New Roman" w:hAnsi="Calibri" w:cs="Calibri"/>
          <w:color w:val="000000"/>
          <w:sz w:val="27"/>
          <w:szCs w:val="27"/>
          <w:lang w:eastAsia="pt-BR"/>
        </w:rPr>
        <w:t>( Duzentos</w:t>
      </w:r>
      <w:proofErr w:type="gramEnd"/>
      <w:r w:rsidRPr="003807ED">
        <w:rPr>
          <w:rFonts w:ascii="Calibri" w:eastAsia="Times New Roman" w:hAnsi="Calibri" w:cs="Calibri"/>
          <w:color w:val="000000"/>
          <w:sz w:val="27"/>
          <w:szCs w:val="27"/>
          <w:lang w:eastAsia="pt-BR"/>
        </w:rPr>
        <w:t xml:space="preserve"> e Doze)</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7"/>
          <w:szCs w:val="27"/>
          <w:lang w:eastAsia="pt-BR"/>
        </w:rPr>
        <w:t>processos cíveis, trabalhistas e fiscais classificadas como passivos (possíveis e remoto), conforme determina o CPC 25, totalizando o valor de R$ 11.573.252,79 (onze milhões, quinhentos e setenta e três mil duzentos e cinquenta e dois reais e setenta e nove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firstLine="1699"/>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21. PATRIMÔNIO LÍQUIDO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a) O Patrimônio Líquido no valor de R$ 722.210.688,05 (setecentos e vinte e dois milhões, duzentos e dez mil seiscentos e oitenta e oito reais e cinco centavos) em 31 de </w:t>
      </w:r>
      <w:proofErr w:type="gramStart"/>
      <w:r w:rsidRPr="003807ED">
        <w:rPr>
          <w:rFonts w:ascii="Calibri" w:eastAsia="Times New Roman" w:hAnsi="Calibri" w:cs="Calibri"/>
          <w:color w:val="000000"/>
          <w:sz w:val="27"/>
          <w:szCs w:val="27"/>
          <w:lang w:eastAsia="pt-BR"/>
        </w:rPr>
        <w:t>Dezembro</w:t>
      </w:r>
      <w:proofErr w:type="gramEnd"/>
      <w:r w:rsidRPr="003807ED">
        <w:rPr>
          <w:rFonts w:ascii="Calibri" w:eastAsia="Times New Roman" w:hAnsi="Calibri" w:cs="Calibri"/>
          <w:color w:val="000000"/>
          <w:sz w:val="27"/>
          <w:szCs w:val="27"/>
          <w:lang w:eastAsia="pt-BR"/>
        </w:rPr>
        <w:t xml:space="preserve"> de 2025.</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21.1. Capital social subscrito e integralizado em 31 de </w:t>
      </w:r>
      <w:proofErr w:type="gramStart"/>
      <w:r w:rsidRPr="003807ED">
        <w:rPr>
          <w:rFonts w:ascii="Calibri" w:eastAsia="Times New Roman" w:hAnsi="Calibri" w:cs="Calibri"/>
          <w:color w:val="000000"/>
          <w:sz w:val="27"/>
          <w:szCs w:val="27"/>
          <w:lang w:eastAsia="pt-BR"/>
        </w:rPr>
        <w:t>Dezembro</w:t>
      </w:r>
      <w:proofErr w:type="gramEnd"/>
      <w:r w:rsidRPr="003807ED">
        <w:rPr>
          <w:rFonts w:ascii="Calibri" w:eastAsia="Times New Roman" w:hAnsi="Calibri" w:cs="Calibri"/>
          <w:color w:val="000000"/>
          <w:sz w:val="27"/>
          <w:szCs w:val="27"/>
          <w:lang w:eastAsia="pt-BR"/>
        </w:rPr>
        <w:t> de 2025 no valor de R$ 187.256.418,03</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7"/>
          <w:szCs w:val="27"/>
          <w:lang w:eastAsia="pt-BR"/>
        </w:rPr>
        <w:t xml:space="preserve">sendo ações ordinárias nominativas com valor unitário por ação de R$ 1,00 (um real), o valor a integralizar é de R$ 8.877.149,13, sendo capital subscrito de R$ 196.133.567,16.  O Governo do Estado de Goiás é acionista majoritário na AGEHAB, detém 196.043.399,42 (cento e noventa e seis milhões, quarenta e três mil trezentos e noventa e nove reais e quarenta e dois centavos) ações ordinárias nominativas que corresponde há 99,9540274% das ações, considerando a aquisição de 2.476 ações </w:t>
      </w:r>
      <w:proofErr w:type="gramStart"/>
      <w:r w:rsidRPr="003807ED">
        <w:rPr>
          <w:rFonts w:ascii="Calibri" w:eastAsia="Times New Roman" w:hAnsi="Calibri" w:cs="Calibri"/>
          <w:color w:val="000000"/>
          <w:sz w:val="27"/>
          <w:szCs w:val="27"/>
          <w:lang w:eastAsia="pt-BR"/>
        </w:rPr>
        <w:t>da empresas</w:t>
      </w:r>
      <w:proofErr w:type="gramEnd"/>
      <w:r w:rsidRPr="003807ED">
        <w:rPr>
          <w:rFonts w:ascii="Calibri" w:eastAsia="Times New Roman" w:hAnsi="Calibri" w:cs="Calibri"/>
          <w:color w:val="000000"/>
          <w:sz w:val="27"/>
          <w:szCs w:val="27"/>
          <w:lang w:eastAsia="pt-BR"/>
        </w:rPr>
        <w:t xml:space="preserve"> Saneamento de Goiás S/A em Agosto de 2025, processo 202200031000687.</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21.2.</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7"/>
          <w:szCs w:val="27"/>
          <w:lang w:eastAsia="pt-BR"/>
        </w:rPr>
        <w:t>Constituída Reservas de LUCROS</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7"/>
          <w:szCs w:val="27"/>
          <w:lang w:eastAsia="pt-BR"/>
        </w:rPr>
        <w:t>classificadas SUBVENÇÃO GOVERNAMENTAL PARA INVESTIMENTOS no valor de R$ 974.381.850,54 (novecentos e setenta e quatro milhões, trezentos e oitenta e um mil oitocentos e cinquenta reais e cinquenta e quatro centavos)</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7"/>
          <w:szCs w:val="27"/>
          <w:lang w:eastAsia="pt-BR"/>
        </w:rPr>
        <w:t>referem-se aos valores transferidos via Lei Orçamentária Anual para execução das ações sociais do Programa Habitacional do Estado de Goiás administrados pela Agência Goiana de Habitação S/A, sendo transferidos para conta de reserva conforme artigo 30 da lei 12.973/2014 e assim excluído da Base de Cálculo do Imposto de Renda e da Contribuição Social conforme reforça o 4º do Ato Declaratório interpretativo RFB nº 4, de 04 de dezembro de 2024.</w:t>
      </w:r>
    </w:p>
    <w:tbl>
      <w:tblPr>
        <w:tblW w:w="16249"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24"/>
        <w:gridCol w:w="10725"/>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974.381.850,54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2021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13.485.425,67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2022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198.835.230,06</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2023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414.195.854,48</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147.271.473,49</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200.593.866,84</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21.3. Composição do Patrimônio Líquido:</w:t>
      </w:r>
    </w:p>
    <w:tbl>
      <w:tblPr>
        <w:tblW w:w="2005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757"/>
        <w:gridCol w:w="4648"/>
        <w:gridCol w:w="4648"/>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PATRIMÔNIO LÍQUIDO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Capital Social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187.256.418,03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187.256.418,03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Ações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187.256.418,03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187.256.418,03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Integralizado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187.256.418,03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187.256.418,03</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Capital Subscrito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196.133.567,16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196.133.567,16</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Capital Subscrito a Integralizar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-8.877.149,13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-8.877.149,13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Reservas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974.381.850,54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773.787.983,70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Reservas de Lucros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974.381.850,54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773.787.983,70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Subvenção Governamental /Investimento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974.381.850,54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773.787.983,70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Resultado de Apuração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-439.425.944,52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-438.838.500,92</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Prejuízos Acumulados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-439.425.944,52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-438.838.500,92</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Ações em Tesouraria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-1.636,00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-1.636,00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Ações em Tesouraria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-1.636,00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-1.636,00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722.210.688,05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522.204.264,81</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21.4. Ações em Tesouraria</w:t>
      </w:r>
      <w:r w:rsidRPr="003807ED">
        <w:rPr>
          <w:rFonts w:ascii="Calibri" w:eastAsia="Times New Roman" w:hAnsi="Calibri" w:cs="Calibri"/>
          <w:b/>
          <w:bCs/>
          <w:color w:val="000000"/>
          <w:sz w:val="27"/>
          <w:szCs w:val="27"/>
          <w:lang w:eastAsia="pt-BR"/>
        </w:rPr>
        <w:t> - </w:t>
      </w:r>
      <w:r w:rsidRPr="003807ED">
        <w:rPr>
          <w:rFonts w:ascii="Calibri" w:eastAsia="Times New Roman" w:hAnsi="Calibri" w:cs="Calibri"/>
          <w:color w:val="000000"/>
          <w:sz w:val="27"/>
          <w:szCs w:val="27"/>
          <w:lang w:eastAsia="pt-BR"/>
        </w:rPr>
        <w:t xml:space="preserve">Em </w:t>
      </w:r>
      <w:proofErr w:type="gramStart"/>
      <w:r w:rsidRPr="003807ED">
        <w:rPr>
          <w:rFonts w:ascii="Calibri" w:eastAsia="Times New Roman" w:hAnsi="Calibri" w:cs="Calibri"/>
          <w:color w:val="000000"/>
          <w:sz w:val="27"/>
          <w:szCs w:val="27"/>
          <w:lang w:eastAsia="pt-BR"/>
        </w:rPr>
        <w:t>Janeiro</w:t>
      </w:r>
      <w:proofErr w:type="gramEnd"/>
      <w:r w:rsidRPr="003807ED">
        <w:rPr>
          <w:rFonts w:ascii="Calibri" w:eastAsia="Times New Roman" w:hAnsi="Calibri" w:cs="Calibri"/>
          <w:color w:val="000000"/>
          <w:sz w:val="27"/>
          <w:szCs w:val="27"/>
          <w:lang w:eastAsia="pt-BR"/>
        </w:rPr>
        <w:t xml:space="preserve"> de 2024, a Agência Goiana de Habitação S/A adquiriu 1.636 ações ordinárias no valor de 1,00 (Um real) cada do Acionista Instituto de Assistência dos Servidores Públicos do Estado de Goiás – </w:t>
      </w:r>
      <w:proofErr w:type="spellStart"/>
      <w:r w:rsidRPr="003807ED">
        <w:rPr>
          <w:rFonts w:ascii="Calibri" w:eastAsia="Times New Roman" w:hAnsi="Calibri" w:cs="Calibri"/>
          <w:color w:val="000000"/>
          <w:sz w:val="27"/>
          <w:szCs w:val="27"/>
          <w:lang w:eastAsia="pt-BR"/>
        </w:rPr>
        <w:t>Ipasgo</w:t>
      </w:r>
      <w:proofErr w:type="spellEnd"/>
      <w:r w:rsidRPr="003807ED">
        <w:rPr>
          <w:rFonts w:ascii="Calibri" w:eastAsia="Times New Roman" w:hAnsi="Calibri" w:cs="Calibri"/>
          <w:color w:val="000000"/>
          <w:sz w:val="27"/>
          <w:szCs w:val="27"/>
          <w:lang w:eastAsia="pt-BR"/>
        </w:rPr>
        <w:t>, conforme processo 20230003100380.</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22. DEMONSTRAÇÃO DAS MUTAÇÕES DO PATRIMÔNIO LÍQUIDO (DMPL)</w:t>
      </w:r>
    </w:p>
    <w:tbl>
      <w:tblPr>
        <w:tblW w:w="2160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698"/>
        <w:gridCol w:w="2140"/>
        <w:gridCol w:w="2185"/>
        <w:gridCol w:w="5308"/>
        <w:gridCol w:w="2704"/>
        <w:gridCol w:w="2581"/>
        <w:gridCol w:w="1984"/>
      </w:tblGrid>
      <w:tr w:rsidR="003807ED" w:rsidRPr="003807ED" w:rsidTr="003807ED">
        <w:trPr>
          <w:trHeight w:val="300"/>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Capital Realizado Atualizado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Reservas de Lucros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Resultado Acumulado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Ações em Tesouraria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Total Geral</w:t>
            </w:r>
          </w:p>
        </w:tc>
      </w:tr>
      <w:tr w:rsidR="003807ED" w:rsidRPr="003807ED" w:rsidTr="003807ED">
        <w:trPr>
          <w:trHeight w:val="8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Capital Subscrito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Capital a Realizar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Subvenção Governamental para Investimento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Saldo em 31/12/2024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196.133.567,16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(8.877.149,13)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773.787.983,70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(438.838.500,92)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(1.636,00)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522.204.264,81</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Capital Subscrito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  </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Capital a Realizar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  </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Subvenção Governamental/Investimento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200.593.866,84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(200.593.866,84)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  </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Ajuste de Exercícios Anteriores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Resultado do Exercício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200.006.423,24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200.006.423,24</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Ações Em Tesouraria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Saldo em 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196.133.567,16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(8.877.149,13)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974.381.850,54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(439.425.944,52)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(1.636,00)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722.210.688,05</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22.1. O Resultado Apurado do Exercício Social em 2025 da Agência Goiana de Habitação S/A é de R$ 200.006.423,24 (duzentos milhões, seis mil quatrocentos e vinte e três reais e vinte e quatro </w:t>
      </w:r>
      <w:proofErr w:type="gramStart"/>
      <w:r w:rsidRPr="003807ED">
        <w:rPr>
          <w:rFonts w:ascii="Calibri" w:eastAsia="Times New Roman" w:hAnsi="Calibri" w:cs="Calibri"/>
          <w:color w:val="000000"/>
          <w:sz w:val="27"/>
          <w:szCs w:val="27"/>
          <w:lang w:eastAsia="pt-BR"/>
        </w:rPr>
        <w:t>centavos)  conforme</w:t>
      </w:r>
      <w:proofErr w:type="gramEnd"/>
      <w:r w:rsidRPr="003807ED">
        <w:rPr>
          <w:rFonts w:ascii="Calibri" w:eastAsia="Times New Roman" w:hAnsi="Calibri" w:cs="Calibri"/>
          <w:color w:val="000000"/>
          <w:sz w:val="27"/>
          <w:szCs w:val="27"/>
          <w:lang w:eastAsia="pt-BR"/>
        </w:rPr>
        <w:t xml:space="preserve"> Demonstração do Resultado do Exercício (DRE).</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22.2. Legislações Aplicáveis: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 Lei 12.973/2014. Art. 30. As subvenções para investimento, inclusive mediante isenção ou redução de impostos, concedidas como estímulo à implantação ou expansão de empreendimentos econômicos e as doações feitas pelo poder público não serão computadas na determinação do lucro real, desde que seja registrada em reserva de lucros a que se refere o </w:t>
      </w:r>
      <w:hyperlink r:id="rId39" w:anchor="art195a" w:tgtFrame="_blank" w:history="1">
        <w:r w:rsidRPr="003807ED">
          <w:rPr>
            <w:rFonts w:ascii="Calibri" w:eastAsia="Times New Roman" w:hAnsi="Calibri" w:cs="Calibri"/>
            <w:color w:val="0000FF"/>
            <w:sz w:val="27"/>
            <w:szCs w:val="27"/>
            <w:u w:val="single"/>
            <w:lang w:eastAsia="pt-BR"/>
          </w:rPr>
          <w:t>art. 195-A da Lei nº 6.404, de 15 de dezembro de 1976</w:t>
        </w:r>
      </w:hyperlink>
      <w:r w:rsidRPr="003807ED">
        <w:rPr>
          <w:rFonts w:ascii="Calibri" w:eastAsia="Times New Roman" w:hAnsi="Calibri" w:cs="Calibri"/>
          <w:color w:val="000000"/>
          <w:sz w:val="27"/>
          <w:szCs w:val="27"/>
          <w:lang w:eastAsia="pt-BR"/>
        </w:rPr>
        <w:t>.</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b) Ato declaratório interpretativo RFB nº 4, de 04 de dezembro de 2024, </w:t>
      </w:r>
      <w:proofErr w:type="gramStart"/>
      <w:r w:rsidRPr="003807ED">
        <w:rPr>
          <w:rFonts w:ascii="Calibri" w:eastAsia="Times New Roman" w:hAnsi="Calibri" w:cs="Calibri"/>
          <w:color w:val="000000"/>
          <w:sz w:val="27"/>
          <w:szCs w:val="27"/>
          <w:lang w:eastAsia="pt-BR"/>
        </w:rPr>
        <w:t>Dispõe</w:t>
      </w:r>
      <w:proofErr w:type="gramEnd"/>
      <w:r w:rsidRPr="003807ED">
        <w:rPr>
          <w:rFonts w:ascii="Calibri" w:eastAsia="Times New Roman" w:hAnsi="Calibri" w:cs="Calibri"/>
          <w:color w:val="000000"/>
          <w:sz w:val="27"/>
          <w:szCs w:val="27"/>
          <w:lang w:eastAsia="pt-BR"/>
        </w:rPr>
        <w:t xml:space="preserve"> sobre o tratamento tributário aplicável às subvenções para investimento, de que trata o art. 30 da Lei nº 12.973, de 13 de maio de 2014. Art. 4º Nos termos do art. 30, § 4º, da Lei nº 12.973, de 13 de maio de 2014, os incentivos e benefícios fiscais ou financeiro-fiscais referentes ao Imposto sobre Operações relativas à Circulação de Mercadorias e sobre Prestações de Serviços de Transporte Interestadual e Intermunicipal e de Comunicação - ICMS equiparam-se, para fins de apuração do Imposto sobre a Renda das Pessoas Jurídicas - IRPJ, às subvenções para investimento, desde que atendidos os requisitos e condições previstos no art. 30 da Lei nº 12.973, de 13 de maio de 2014. Parágrafo único. A exclusão prevista no art. 3º, relativamente aos incentivos e benefícios de que trata o caput: I - também deverá corresponder ao acréscimo patrimonial proporcionado para a pessoa jurídica por tais incentivos e benefícios, de modo a impedir que sejam incluídos na base de cálculo do IRPJ; e II - não será realizada, caso não haja acréscimo patrimonial para a pessoa jurídica, de modo a evitar que a base de cálculo do IRPJ seja reduzida indevidamente.</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proofErr w:type="gramStart"/>
      <w:r w:rsidRPr="003807ED">
        <w:rPr>
          <w:rFonts w:ascii="Calibri" w:eastAsia="Times New Roman" w:hAnsi="Calibri" w:cs="Calibri"/>
          <w:color w:val="000000"/>
          <w:sz w:val="27"/>
          <w:szCs w:val="27"/>
          <w:lang w:eastAsia="pt-BR"/>
        </w:rPr>
        <w:t>c) Para</w:t>
      </w:r>
      <w:proofErr w:type="gramEnd"/>
      <w:r w:rsidRPr="003807ED">
        <w:rPr>
          <w:rFonts w:ascii="Calibri" w:eastAsia="Times New Roman" w:hAnsi="Calibri" w:cs="Calibri"/>
          <w:color w:val="000000"/>
          <w:sz w:val="27"/>
          <w:szCs w:val="27"/>
          <w:lang w:eastAsia="pt-BR"/>
        </w:rPr>
        <w:t xml:space="preserve"> apuração do Lucro Real, utiliza o sistema Escrituração Contábil Fiscal (ECF) que através dos registros contábeis realiza apuração do Lucro Real de forma automática, tendo a necessidade de realizar ajustes do LUCRO REAL, através das ADIÇÕES das Despesas </w:t>
      </w:r>
      <w:proofErr w:type="spellStart"/>
      <w:r w:rsidRPr="003807ED">
        <w:rPr>
          <w:rFonts w:ascii="Calibri" w:eastAsia="Times New Roman" w:hAnsi="Calibri" w:cs="Calibri"/>
          <w:color w:val="000000"/>
          <w:sz w:val="27"/>
          <w:szCs w:val="27"/>
          <w:lang w:eastAsia="pt-BR"/>
        </w:rPr>
        <w:t>Indedutíveis</w:t>
      </w:r>
      <w:proofErr w:type="spellEnd"/>
      <w:r w:rsidRPr="003807ED">
        <w:rPr>
          <w:rFonts w:ascii="Calibri" w:eastAsia="Times New Roman" w:hAnsi="Calibri" w:cs="Calibri"/>
          <w:color w:val="000000"/>
          <w:sz w:val="27"/>
          <w:szCs w:val="27"/>
          <w:lang w:eastAsia="pt-BR"/>
        </w:rPr>
        <w:t xml:space="preserve"> ao LUCRO e EXCLUSÕES das receitas não tributadas ao LUCRO conforme Decreto nº 9.580 de 22 de Novembro de 2018 Instrução Normativa RFB nº 1700 de 14 de Março de 2017.</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22.3. Simulação da Apuração do Lucro Real Acumulado do período de 01/01/2025 a 31/12/2025.</w:t>
      </w:r>
    </w:p>
    <w:tbl>
      <w:tblPr>
        <w:tblW w:w="11484"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8827"/>
        <w:gridCol w:w="2657"/>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APURAÇÃO DO LUCRO REAL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LUCRO/RESULTADO DO PERÍODO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200.006.423,24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DEMONSTRATIVO DO LUCRO REAL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46.022,00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Adições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337.338,89</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Prorrogação Salário Maternidade/Paternidade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132.913,17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xml:space="preserve">Multas </w:t>
            </w:r>
            <w:proofErr w:type="spellStart"/>
            <w:r w:rsidRPr="003807ED">
              <w:rPr>
                <w:rFonts w:ascii="Calibri" w:eastAsia="Times New Roman" w:hAnsi="Calibri" w:cs="Calibri"/>
                <w:color w:val="000000"/>
                <w:sz w:val="18"/>
                <w:szCs w:val="18"/>
                <w:lang w:eastAsia="pt-BR"/>
              </w:rPr>
              <w:t>Indedutíveis</w:t>
            </w:r>
            <w:proofErr w:type="spellEnd"/>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1.327,47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Associações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25.684,32</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Indenizações Processos Judiciais Trabalhistas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62.966,97</w:t>
            </w:r>
          </w:p>
        </w:tc>
      </w:tr>
      <w:tr w:rsidR="003807ED" w:rsidRPr="003807ED" w:rsidTr="003807ED">
        <w:trPr>
          <w:trHeight w:val="51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Diferença entre Depreciação/Amortização Societária/Fiscal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114.446,96</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Exclusões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201.632.308,31</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Reversão de Crédito de Liquidação Duvidosa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1.240,21</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Reversão de Contingencias Judiciais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1.037.201,26</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Subvenções para Investimento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200.593.866,84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Subvenção Construção de Unidades Habitacionais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525.055.147,27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Aplicação em Programas Habitacionais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324.461.280,43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PREJUIZO FISCAL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-1.288.546,18</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proofErr w:type="gramStart"/>
      <w:r w:rsidRPr="003807ED">
        <w:rPr>
          <w:rFonts w:ascii="Calibri" w:eastAsia="Times New Roman" w:hAnsi="Calibri" w:cs="Calibri"/>
          <w:color w:val="000000"/>
          <w:sz w:val="27"/>
          <w:szCs w:val="27"/>
          <w:lang w:eastAsia="pt-BR"/>
        </w:rPr>
        <w:t>a) Conforme</w:t>
      </w:r>
      <w:proofErr w:type="gramEnd"/>
      <w:r w:rsidRPr="003807ED">
        <w:rPr>
          <w:rFonts w:ascii="Calibri" w:eastAsia="Times New Roman" w:hAnsi="Calibri" w:cs="Calibri"/>
          <w:color w:val="000000"/>
          <w:sz w:val="27"/>
          <w:szCs w:val="27"/>
          <w:lang w:eastAsia="pt-BR"/>
        </w:rPr>
        <w:t xml:space="preserve"> determina do artigo 4º do Ato Declaratório interpretativo RFB nº 4, de 04 de dezembro de 2024.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O valor de R$ 200.593.866,84 (duzentos milhões, quinhentos e noventa e três mil oitocentos e sessenta e seis reais e oitenta e quatro centavos) correspondente ao acrescimento patrimonial do período considerando os repasses financeiros do Estado de Goiás para subsidiar ação social Modalidade Construção Unidades Habitacionais em contrapartida aos valores das baixas das Construções Unidades, acumulado de 01/01/2025 a 31/12/2025, sendo contabilizado na Contas de Reservas de Lucros no Patrimônio Líquido.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 Considerando que Unidades Habitacionais construídas não integram o patrimônio da Agência Goiana de Habitação S/A e são objetos de doações às famílias goianas conforme Lei nº 21.219 do Estado de Goiás de 29 de Dezembro de 2021 Art. 4º O Programa Pra Ter Onde Morar, quanto à construção, tem o objetivo de construir ou concluir unidades habitacionais de interesse social em municípios do Estado de Goiás, para posterior doação a famílias vulneráveis social e economicamente, justifica-se a EXCLUSÃO DA BASE DE CÁCULO DO IMPOSTO DE RENDA E DA CONTRIBUIÇÃO SOCIAL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c)  Apurado Prejuízo Fiscal acumulado (simulação) de R$ 1.288.546,18 (um milhão, duzentos e oitenta e oito mil quinhentos e quarenta e seis reais e dezoito centavos) do período de 01/01/2025 a 31/12/2025.</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23. DEMONSTRAÇÃO DO RESULTADO DO EXERCÍCIO (DRE)</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23.1. RECEITA OPERACIONAL BRUTA totalizando R$ 14.018.682,89 (quatorze milhões, dezoito mil seiscentos e oitenta e dois reais e oitenta e nove centavos) e RECEITA OPERACIONAL LÍQUIDA totalizando R$ 12.052.495,99 (doze milhões, cinquenta e dois mil quatrocentos e noventa e cinco reais e noventa e nove centavos)</w:t>
      </w:r>
    </w:p>
    <w:tbl>
      <w:tblPr>
        <w:tblW w:w="19484"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125"/>
        <w:gridCol w:w="1733"/>
        <w:gridCol w:w="3813"/>
        <w:gridCol w:w="3813"/>
      </w:tblGrid>
      <w:tr w:rsidR="003807ED" w:rsidRPr="003807ED" w:rsidTr="003807ED">
        <w:trPr>
          <w:trHeight w:val="300"/>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Nota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RECEITA OPERACIONAL BRUTA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14.018.682,89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5.537.585,84</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Receitas Bruta de Serviço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5.060.015,14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4.706.324,64</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Receita de Alienação de Bens Imóveis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8.958.667,75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831.261,20</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(-)Impostos Incidentes e Desvinculações  (c)</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(1.966.186,90)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(1.769.300,53)</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 RECEITA OPERACIONAL LÍQUIDA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12.052.495,99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3.768.285,31</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23.1.1. Através da</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7"/>
          <w:szCs w:val="27"/>
          <w:lang w:eastAsia="pt-BR"/>
        </w:rPr>
        <w:t>Nota Técnica nº: 3/2025/AGEHAB/NFCT-20038(</w:t>
      </w:r>
      <w:hyperlink r:id="rId40" w:tgtFrame="_blank" w:history="1">
        <w:r w:rsidRPr="003807ED">
          <w:rPr>
            <w:rFonts w:ascii="Calibri" w:eastAsia="Times New Roman" w:hAnsi="Calibri" w:cs="Calibri"/>
            <w:color w:val="0000FF"/>
            <w:sz w:val="27"/>
            <w:szCs w:val="27"/>
            <w:u w:val="single"/>
            <w:lang w:eastAsia="pt-BR"/>
          </w:rPr>
          <w:t>70236446</w:t>
        </w:r>
      </w:hyperlink>
      <w:r w:rsidRPr="003807ED">
        <w:rPr>
          <w:rFonts w:ascii="Calibri" w:eastAsia="Times New Roman" w:hAnsi="Calibri" w:cs="Calibri"/>
          <w:color w:val="000000"/>
          <w:sz w:val="27"/>
          <w:szCs w:val="27"/>
          <w:lang w:eastAsia="pt-BR"/>
        </w:rPr>
        <w:t>) Processo 202500031000850 tendo como objetivo revisão das práticas contábeis na Agência Goiana de Habitação S/A- AGEHAB, considera-se como </w:t>
      </w:r>
      <w:r w:rsidRPr="003807ED">
        <w:rPr>
          <w:rFonts w:ascii="Calibri" w:eastAsia="Times New Roman" w:hAnsi="Calibri" w:cs="Calibri"/>
          <w:b/>
          <w:bCs/>
          <w:color w:val="000000"/>
          <w:sz w:val="27"/>
          <w:szCs w:val="27"/>
          <w:lang w:eastAsia="pt-BR"/>
        </w:rPr>
        <w:t>Receita Operacional Bruta</w:t>
      </w:r>
      <w:r w:rsidRPr="003807ED">
        <w:rPr>
          <w:rFonts w:ascii="Calibri" w:eastAsia="Times New Roman" w:hAnsi="Calibri" w:cs="Calibri"/>
          <w:color w:val="000000"/>
          <w:sz w:val="27"/>
          <w:szCs w:val="27"/>
          <w:lang w:eastAsia="pt-BR"/>
        </w:rPr>
        <w:t>, as seguintes movimentações: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 Receita Bruta de Serviço refere-se ao contrato de prestação de Serviço com o Estado de Goiás para administrar a Carteira Habitacional do Estado de Goiás, conforme Contrato (</w:t>
      </w:r>
      <w:hyperlink r:id="rId41" w:tgtFrame="_blank" w:history="1">
        <w:r w:rsidRPr="003807ED">
          <w:rPr>
            <w:rFonts w:ascii="Calibri" w:eastAsia="Times New Roman" w:hAnsi="Calibri" w:cs="Calibri"/>
            <w:color w:val="0000FF"/>
            <w:sz w:val="27"/>
            <w:szCs w:val="27"/>
            <w:u w:val="single"/>
            <w:lang w:eastAsia="pt-BR"/>
          </w:rPr>
          <w:t>70408596</w:t>
        </w:r>
      </w:hyperlink>
      <w:r w:rsidRPr="003807ED">
        <w:rPr>
          <w:rFonts w:ascii="Calibri" w:eastAsia="Times New Roman" w:hAnsi="Calibri" w:cs="Calibri"/>
          <w:color w:val="000000"/>
          <w:sz w:val="27"/>
          <w:szCs w:val="27"/>
          <w:lang w:eastAsia="pt-BR"/>
        </w:rPr>
        <w:t>) e Termo Aditivo(</w:t>
      </w:r>
      <w:hyperlink r:id="rId42" w:tgtFrame="_blank" w:history="1">
        <w:r w:rsidRPr="003807ED">
          <w:rPr>
            <w:rFonts w:ascii="Calibri" w:eastAsia="Times New Roman" w:hAnsi="Calibri" w:cs="Calibri"/>
            <w:color w:val="0000FF"/>
            <w:sz w:val="27"/>
            <w:szCs w:val="27"/>
            <w:u w:val="single"/>
            <w:lang w:eastAsia="pt-BR"/>
          </w:rPr>
          <w:t>000038099866</w:t>
        </w:r>
      </w:hyperlink>
      <w:r w:rsidRPr="003807ED">
        <w:rPr>
          <w:rFonts w:ascii="Calibri" w:eastAsia="Times New Roman" w:hAnsi="Calibri" w:cs="Calibri"/>
          <w:color w:val="000000"/>
          <w:sz w:val="27"/>
          <w:szCs w:val="27"/>
          <w:lang w:eastAsia="pt-BR"/>
        </w:rPr>
        <w:t>) e prestação de serviço registros documentais.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b) Receita de Alienação de Bens Imóveis especificamente venda de Terrenos cujos valores recebidos referem-se à fração da comercialização de Unidades Habitacionais situado no Vera Cruz em Goiânia/Goiás empreendimento Iris Rezende </w:t>
      </w:r>
      <w:proofErr w:type="gramStart"/>
      <w:r w:rsidRPr="003807ED">
        <w:rPr>
          <w:rFonts w:ascii="Calibri" w:eastAsia="Times New Roman" w:hAnsi="Calibri" w:cs="Calibri"/>
          <w:color w:val="000000"/>
          <w:sz w:val="27"/>
          <w:szCs w:val="27"/>
          <w:lang w:eastAsia="pt-BR"/>
        </w:rPr>
        <w:t>III,IV</w:t>
      </w:r>
      <w:proofErr w:type="gramEnd"/>
      <w:r w:rsidRPr="003807ED">
        <w:rPr>
          <w:rFonts w:ascii="Calibri" w:eastAsia="Times New Roman" w:hAnsi="Calibri" w:cs="Calibri"/>
          <w:color w:val="000000"/>
          <w:sz w:val="27"/>
          <w:szCs w:val="27"/>
          <w:lang w:eastAsia="pt-BR"/>
        </w:rPr>
        <w:t>, V e VI.</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c) Os impostos Incidentes sobre a Receita são ISS – Imposto sobre serviço, PIS – Programa de Integração Social, COFINS – Contribuição para Fins da Seguridade Social, apurados sobre a Receita Bruta de Serviços e as Desvinculações da Receita Estadual conforme art. 39 do Ato das Disposições Constitucionais Transitórias, da Constituição Estadual, o qual estabelece a desvinculação de 30% (trinta por cento) das receitas vinculadas a órgãos e entidades, fundos ou despesa, por força da Emenda à Constituição Estadual de Goiás nº 78/2023.</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firstLine="1699"/>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23.2. SUBVENÇÕES GOVERNAMENTAIS, totalizando R$ 730.456.860,77 (setecentos e trinta milhões, quatrocentos e cinquenta e seis mil oitocentos e sessenta reais e setenta e sete centavos)</w:t>
      </w:r>
    </w:p>
    <w:tbl>
      <w:tblPr>
        <w:tblW w:w="19484"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41"/>
        <w:gridCol w:w="1329"/>
        <w:gridCol w:w="3107"/>
        <w:gridCol w:w="3107"/>
      </w:tblGrid>
      <w:tr w:rsidR="003807ED" w:rsidRPr="003807ED" w:rsidTr="003807ED">
        <w:trPr>
          <w:trHeight w:val="300"/>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Nota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OUTRAS RECEITAS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23.2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730.456.860,77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447.166.814,75</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SUBVENÇÃO GOVERNAMENTAL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730.456.860,77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447.166.814,75</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Subvenção de Custeio  - Recursos Tesouro Estadual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87.791.894,10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72.434.251,74</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Subvenção Programas Habitacionais - Recursos Tesouro Estadual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642.018.075,74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373.838.867,16</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Subvenção Programas Habitacionais - Recursos União  (c)</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646.890,93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893.695,85</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23.2.1. Através da</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7"/>
          <w:szCs w:val="27"/>
          <w:lang w:eastAsia="pt-BR"/>
        </w:rPr>
        <w:t>Nota Técnica nº: 3/2025/AGEHAB/NFCT-20038( </w:t>
      </w:r>
      <w:hyperlink r:id="rId43" w:tgtFrame="_blank" w:history="1">
        <w:r w:rsidRPr="003807ED">
          <w:rPr>
            <w:rFonts w:ascii="Calibri" w:eastAsia="Times New Roman" w:hAnsi="Calibri" w:cs="Calibri"/>
            <w:color w:val="0000FF"/>
            <w:sz w:val="27"/>
            <w:szCs w:val="27"/>
            <w:u w:val="single"/>
            <w:lang w:eastAsia="pt-BR"/>
          </w:rPr>
          <w:t>70236446</w:t>
        </w:r>
      </w:hyperlink>
      <w:r w:rsidRPr="003807ED">
        <w:rPr>
          <w:rFonts w:ascii="Calibri" w:eastAsia="Times New Roman" w:hAnsi="Calibri" w:cs="Calibri"/>
          <w:color w:val="000000"/>
          <w:sz w:val="27"/>
          <w:szCs w:val="27"/>
          <w:lang w:eastAsia="pt-BR"/>
        </w:rPr>
        <w:t>) Processo 202500031000850 tendo como objetivo revisão das práticas contábeis na Agência Goiana de Habitação S/A- AGEHAB, assim reclassificado para o grupo contábil RECEITAS/OUTRAS RECEITAS, não integrando o grupo de RECEITA BRUTA OPERACIONAL.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 Subvenção Governamental de Custeio oriundo do tesouro do Estado de Goiás, previsto em Lei Orçamentária Anual (LOA), tendo como destinação pagamento despesa com pessoal/encargos sociais e manutenção da estrutura administrativa deduzindo desvinculações da Receita Estadual (DRE) conforme art. 39 do Ato das Disposições Constitucionais Transitórias, da Constituição Estadual, o qual estabelece a desvinculação de 30% (trinta por cento) das receitas vinculadas a órgãos e entidades, fundos ou despesa, por força da Emenda à Constituição Estadual de Goiás nº 78/2023.</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 Subvenção Governamental oriundo do Tesouro do Estado de Goiás, previsto em Lei Orçamentária Anual (LOA) para subsidiar programa de habitacional MORADIA COMO BASE DE CIDADANIA para ações sociais Construção e Reforma de Unidades Habitacionais, Regularização Fundiária e Aluguel Social.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c) Subvenção Governamental da União: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c.1) Convênios Federais referente aos termos de parcerias União/CEF com utilização de recurso do FGTS para subsidiar Construção de Unidades </w:t>
      </w:r>
      <w:proofErr w:type="gramStart"/>
      <w:r w:rsidRPr="003807ED">
        <w:rPr>
          <w:rFonts w:ascii="Calibri" w:eastAsia="Times New Roman" w:hAnsi="Calibri" w:cs="Calibri"/>
          <w:color w:val="000000"/>
          <w:sz w:val="27"/>
          <w:szCs w:val="27"/>
          <w:lang w:eastAsia="pt-BR"/>
        </w:rPr>
        <w:t>Habitacionais(</w:t>
      </w:r>
      <w:proofErr w:type="gramEnd"/>
      <w:r w:rsidRPr="003807ED">
        <w:rPr>
          <w:rFonts w:ascii="Calibri" w:eastAsia="Times New Roman" w:hAnsi="Calibri" w:cs="Calibri"/>
          <w:color w:val="000000"/>
          <w:sz w:val="27"/>
          <w:szCs w:val="27"/>
          <w:lang w:eastAsia="pt-BR"/>
        </w:rPr>
        <w:t>convênios antigos);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c.2) Convênios celebrados através Termo de Compromisso nº 0352781-82 para executar atividades de Projeto de Trabalho Social nos loteamentos Madre Germana I e II em Aparecida de Goiânia e Goiânia União/CEF e Convênio nº 0419643-38 União/CEF/FAR para executar Plano de Desenvolvimento </w:t>
      </w:r>
      <w:proofErr w:type="spellStart"/>
      <w:r w:rsidRPr="003807ED">
        <w:rPr>
          <w:rFonts w:ascii="Calibri" w:eastAsia="Times New Roman" w:hAnsi="Calibri" w:cs="Calibri"/>
          <w:color w:val="000000"/>
          <w:sz w:val="27"/>
          <w:szCs w:val="27"/>
          <w:lang w:eastAsia="pt-BR"/>
        </w:rPr>
        <w:t>Socioterritorial</w:t>
      </w:r>
      <w:proofErr w:type="spellEnd"/>
      <w:r w:rsidRPr="003807ED">
        <w:rPr>
          <w:rFonts w:ascii="Calibri" w:eastAsia="Times New Roman" w:hAnsi="Calibri" w:cs="Calibri"/>
          <w:color w:val="000000"/>
          <w:sz w:val="27"/>
          <w:szCs w:val="27"/>
          <w:lang w:eastAsia="pt-BR"/>
        </w:rPr>
        <w:t xml:space="preserve"> no residencial Vera Cruz empreendimento Nelson Mandela em Goiânia;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23.2.2</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7"/>
          <w:szCs w:val="27"/>
          <w:lang w:eastAsia="pt-BR"/>
        </w:rPr>
        <w:t>Política de Contabilidade Adotada para Subvenção Governamental da Agência Goiana de Habitação S/A.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23.2.2.1 Por meio do documento (</w:t>
      </w:r>
      <w:hyperlink r:id="rId44" w:tgtFrame="_blank" w:history="1">
        <w:r w:rsidRPr="003807ED">
          <w:rPr>
            <w:rFonts w:ascii="Calibri" w:eastAsia="Times New Roman" w:hAnsi="Calibri" w:cs="Calibri"/>
            <w:color w:val="0000FF"/>
            <w:sz w:val="27"/>
            <w:szCs w:val="27"/>
            <w:u w:val="single"/>
            <w:lang w:eastAsia="pt-BR"/>
          </w:rPr>
          <w:t>76228986</w:t>
        </w:r>
      </w:hyperlink>
      <w:r w:rsidRPr="003807ED">
        <w:rPr>
          <w:rFonts w:ascii="Calibri" w:eastAsia="Times New Roman" w:hAnsi="Calibri" w:cs="Calibri"/>
          <w:color w:val="000000"/>
          <w:sz w:val="27"/>
          <w:szCs w:val="27"/>
          <w:lang w:eastAsia="pt-BR"/>
        </w:rPr>
        <w:t>) processo 202500031000850 foi elaborado a Política de Contabilidade Adotada para Subvenção Governamental da Agência Goiana de Habitação S/A tendo como alcance:</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Esta política dever ser aplicada aos fatos contábeis relativos aos ingressos financeiros oriundos do tesouro do Estado de Goiás e outras entidades para manutenção dos Programas Habitacionais administrados pela Agência Goiana de Habitação S/A e manutenção da estrutura administrativa no âmbito da Contabilidade Societária.</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9. DIVULGAÇÃO EM NOTAS EXPLICATIVAS TRIMESTRAIS INFORMANDO A POLÍTICA ADOTADA SOBRE SUBVENÇÃO GOVERNAMENTAL</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9.1. O resultado financeiro das Subvenções Governamentais recebidas pela Agência Goiana de Habitação S/A deverá ser divulgado em Nota explicativas às Demonstrações Financeiras Intermediárias e anual, obedecendo os seguintes critérios:</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9.1.1. Divulgar em nota explicativa no mínimo na Demonstração do Resultado do Exercício (DRE);</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9.1.2. Realizar comparativo no mínimo dos valores recebidos com o mesmo período ano anterior;</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9.1.3. Demonstrar os valores recebidos por ações dos programas habitacionais;</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9.2. Aprimorar as Notas Explicativas e Demonstrativos Auxiliares</w:t>
      </w:r>
    </w:p>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9.2.1. Esta política será atualizada conforme alterações nas Normas Brasileira de Contabilidade, Normas de Contabilidade Aplicadas ao Setor Público, por exigência legal baseado nas alterações das legislações estaduais e federais e por exigência dos órgãos de controle externo.</w:t>
      </w:r>
    </w:p>
    <w:tbl>
      <w:tblPr>
        <w:tblW w:w="16924"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864"/>
        <w:gridCol w:w="3030"/>
        <w:gridCol w:w="3030"/>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Subvenção Recurso Estadual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729.809.969,84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446.273.118,90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Subvenção Custeio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87.791.894,10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72.434.251,74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51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Subvenção Programas Habitacionais - Recurso Estado de Goiás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642.018.075,74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373.838.867,16</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Construção Unidades Habitacionais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502.706.785,72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290.082.467,32</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Construção Unidades Habitacionais FAR/PROTEGE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22.348.361,55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Aluguel Social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114.625.117,16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82.837.712,13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Regularização Fundiária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657.811,31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918.687,71</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Reforma de Unidades Habitacionais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1.680.000,00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Subvenção Recurso União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646.890,93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893.695,85</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Termos e Convênios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646.890,93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893.695,85</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730.456.860,77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447.166.814,75</w:t>
            </w:r>
          </w:p>
        </w:tc>
      </w:tr>
    </w:tbl>
    <w:p w:rsidR="003807ED" w:rsidRPr="003807ED" w:rsidRDefault="003807ED" w:rsidP="003807ED">
      <w:pPr>
        <w:spacing w:before="80" w:after="80" w:line="240" w:lineRule="auto"/>
        <w:ind w:left="1699"/>
        <w:jc w:val="both"/>
        <w:rPr>
          <w:rFonts w:ascii="Calibri" w:eastAsia="Times New Roman" w:hAnsi="Calibri" w:cs="Calibri"/>
          <w:color w:val="000000"/>
          <w:sz w:val="20"/>
          <w:szCs w:val="20"/>
          <w:lang w:eastAsia="pt-BR"/>
        </w:rPr>
      </w:pPr>
      <w:r w:rsidRPr="003807ED">
        <w:rPr>
          <w:rFonts w:ascii="Calibri" w:eastAsia="Times New Roman" w:hAnsi="Calibri" w:cs="Calibri"/>
          <w:color w:val="000000"/>
          <w:sz w:val="20"/>
          <w:szCs w:val="20"/>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23.3. CUSTOS DOS SERVIÇOS PRESTADOS, totalizando R$ 519.752.388,82 (quinhentos e dezenove milhões, setecentos e cinquenta e dois mil trezentos e oitenta e oito reais e oitenta e dois centavos)</w:t>
      </w:r>
    </w:p>
    <w:tbl>
      <w:tblPr>
        <w:tblW w:w="19484"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9517"/>
        <w:gridCol w:w="1863"/>
        <w:gridCol w:w="4052"/>
        <w:gridCol w:w="4052"/>
      </w:tblGrid>
      <w:tr w:rsidR="003807ED" w:rsidRPr="003807ED" w:rsidTr="003807ED">
        <w:trPr>
          <w:trHeight w:val="300"/>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Nota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CUSTOS DOS SERVIÇOS PRESTADOS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23.3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(519.752.388,82)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(288.040.889,19)</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APLICAÇÃO PROGRAMAS HABITACIONAIS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23.3.1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(451.094.659,12)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(227.193.703,99)</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Com Recursos - União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(431.922,20)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(766.542,46)</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Com Recursos - Tesouro Estadual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(450.662.736,92)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(226.427.161,53)</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OUTROS CUSTO DOS SERVIÇOS PRESTADOS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23.3.2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(68.657.729,70)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(60.847.185,20)</w:t>
            </w:r>
          </w:p>
        </w:tc>
      </w:tr>
      <w:tr w:rsidR="003807ED" w:rsidRPr="003807ED" w:rsidTr="003807ED">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Mão de Obra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(55.841.240,93)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(51.702.796,55)</w:t>
            </w:r>
          </w:p>
        </w:tc>
      </w:tr>
      <w:tr w:rsidR="003807ED" w:rsidRPr="003807ED" w:rsidTr="003807ED">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Serviços de Terceiros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(10.311.469,29)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(7.716.428,18)</w:t>
            </w:r>
          </w:p>
        </w:tc>
      </w:tr>
      <w:tr w:rsidR="003807ED" w:rsidRPr="003807ED" w:rsidTr="003807ED">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Outros Custos Operacionais  (c)</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(848.031,03)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(744.575,42)</w:t>
            </w:r>
          </w:p>
        </w:tc>
      </w:tr>
      <w:tr w:rsidR="003807ED" w:rsidRPr="003807ED" w:rsidTr="003807ED">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Custo com Obras Administradas  (d)</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(1.656.988,45)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(683.385,05)</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                                                                                                                                                                                               </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23.3.1. APLICAÇÃO PROGRAMAS HABITACIONAIS, totalizando R$ 451.094.659,12 (quatrocentos e cinquenta e um milhões, noventa e quatro mil seiscentos e cinquenta e nove reais e doze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23.3.1 Através da</w:t>
      </w:r>
      <w:r w:rsidRPr="003807ED">
        <w:rPr>
          <w:rFonts w:ascii="Calibri" w:eastAsia="Times New Roman" w:hAnsi="Calibri" w:cs="Calibri"/>
          <w:b/>
          <w:bCs/>
          <w:color w:val="000000"/>
          <w:sz w:val="27"/>
          <w:szCs w:val="27"/>
          <w:lang w:eastAsia="pt-BR"/>
        </w:rPr>
        <w:t> </w:t>
      </w:r>
      <w:r w:rsidRPr="003807ED">
        <w:rPr>
          <w:rFonts w:ascii="Calibri" w:eastAsia="Times New Roman" w:hAnsi="Calibri" w:cs="Calibri"/>
          <w:color w:val="000000"/>
          <w:sz w:val="27"/>
          <w:szCs w:val="27"/>
          <w:lang w:eastAsia="pt-BR"/>
        </w:rPr>
        <w:t>Nota Técnica nº: 3/2025/AGEHAB/NFCT-20038(</w:t>
      </w:r>
      <w:hyperlink r:id="rId45" w:tgtFrame="_blank" w:history="1">
        <w:r w:rsidRPr="003807ED">
          <w:rPr>
            <w:rFonts w:ascii="Calibri" w:eastAsia="Times New Roman" w:hAnsi="Calibri" w:cs="Calibri"/>
            <w:color w:val="0000FF"/>
            <w:sz w:val="27"/>
            <w:szCs w:val="27"/>
            <w:u w:val="single"/>
            <w:lang w:eastAsia="pt-BR"/>
          </w:rPr>
          <w:t>70236446</w:t>
        </w:r>
      </w:hyperlink>
      <w:r w:rsidRPr="003807ED">
        <w:rPr>
          <w:rFonts w:ascii="Calibri" w:eastAsia="Times New Roman" w:hAnsi="Calibri" w:cs="Calibri"/>
          <w:color w:val="000000"/>
          <w:sz w:val="27"/>
          <w:szCs w:val="27"/>
          <w:lang w:eastAsia="pt-BR"/>
        </w:rPr>
        <w:t>) Processo 202500031000850 tendo como objetivo revisão das práticas contábeis na Agência Goiana de Habitação S/A- AGEHAB, assim alterado às nomenclaturas de SERVIÇO APLICADO para APLICAÇÃO PROGRAMAS HABITACIONAIS.</w:t>
      </w:r>
    </w:p>
    <w:tbl>
      <w:tblPr>
        <w:tblW w:w="16924"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54"/>
        <w:gridCol w:w="3285"/>
        <w:gridCol w:w="3285"/>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Aplicação Programas Habitacionais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451.094.659,12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227.193.703,99</w:t>
            </w:r>
          </w:p>
        </w:tc>
      </w:tr>
      <w:tr w:rsidR="003807ED" w:rsidRPr="003807ED" w:rsidTr="003807ED">
        <w:trPr>
          <w:trHeight w:val="255"/>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Recurso União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431.922,20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766.542,46</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Projeto Técnico Social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431.922,20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766.542,46</w:t>
            </w:r>
          </w:p>
        </w:tc>
      </w:tr>
      <w:tr w:rsidR="003807ED" w:rsidRPr="003807ED" w:rsidTr="003807ED">
        <w:trPr>
          <w:trHeight w:val="255"/>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Recurso Estadual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450.662.736,92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226.427.161,53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Construção de Unidades Habitacionais (b.1)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324.461.280,43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142.810.993,83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Construção de Unidades Habitacionais - Retomada (b.1)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7.640.275,62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Aluguel Social (b.2)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114.625.117,16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82.837.712,13</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Regularização Fundiária (b.3)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2.251.084,09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778.455,57</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Reforma de Unidades Habitacionais (b.4)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1.680.000,00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Serviços Construção Civil (b.5)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4.979,62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0,00</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 Recurso Financeiro - União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Refere-se aos serviços prestados através dos convênios Termo de Compromisso nº 0352781-82 para executar atividades de Projeto de Trabalho Social nos loteamentos Madre Germana I e II em Aparecida de Goiânia e Goiânia União/CEF e Convênio nº 0419643-38 União/CEF/FAR para executar Plano de Desenvolvimento </w:t>
      </w:r>
      <w:proofErr w:type="spellStart"/>
      <w:r w:rsidRPr="003807ED">
        <w:rPr>
          <w:rFonts w:ascii="Calibri" w:eastAsia="Times New Roman" w:hAnsi="Calibri" w:cs="Calibri"/>
          <w:color w:val="000000"/>
          <w:sz w:val="27"/>
          <w:szCs w:val="27"/>
          <w:lang w:eastAsia="pt-BR"/>
        </w:rPr>
        <w:t>Socioterritorial</w:t>
      </w:r>
      <w:proofErr w:type="spellEnd"/>
      <w:r w:rsidRPr="003807ED">
        <w:rPr>
          <w:rFonts w:ascii="Calibri" w:eastAsia="Times New Roman" w:hAnsi="Calibri" w:cs="Calibri"/>
          <w:color w:val="000000"/>
          <w:sz w:val="27"/>
          <w:szCs w:val="27"/>
          <w:lang w:eastAsia="pt-BR"/>
        </w:rPr>
        <w:t xml:space="preserve"> no residencial Vera Cruz empreendimento Nelson Mandela em Goiânia.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 Recurso Financeiro - Governo do Estado de Goiás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b.1) Construção de Unidades Habitacionais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Nota Técnica nº 05/2024 – AGEHAB-ASCONT-20038 (documento </w:t>
      </w:r>
      <w:hyperlink r:id="rId46" w:tgtFrame="_blank" w:history="1">
        <w:r w:rsidRPr="003807ED">
          <w:rPr>
            <w:rFonts w:ascii="Calibri" w:eastAsia="Times New Roman" w:hAnsi="Calibri" w:cs="Calibri"/>
            <w:color w:val="0000FF"/>
            <w:sz w:val="27"/>
            <w:szCs w:val="27"/>
            <w:u w:val="single"/>
            <w:lang w:eastAsia="pt-BR"/>
          </w:rPr>
          <w:t>65208656</w:t>
        </w:r>
      </w:hyperlink>
      <w:r w:rsidRPr="003807ED">
        <w:rPr>
          <w:rFonts w:ascii="Calibri" w:eastAsia="Times New Roman" w:hAnsi="Calibri" w:cs="Calibri"/>
          <w:color w:val="000000"/>
          <w:sz w:val="27"/>
          <w:szCs w:val="27"/>
          <w:lang w:eastAsia="pt-BR"/>
        </w:rPr>
        <w:t>) Processo 202400031007406.</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Considerando que Unidades Habitacionais construídas não integram o patrimônio da Agência Goiana de Habitação S/A e são objetos de doações às famílias goianas conforme Lei nº 21.219 do Estado de Goiás de 29 de </w:t>
      </w:r>
      <w:proofErr w:type="gramStart"/>
      <w:r w:rsidRPr="003807ED">
        <w:rPr>
          <w:rFonts w:ascii="Calibri" w:eastAsia="Times New Roman" w:hAnsi="Calibri" w:cs="Calibri"/>
          <w:color w:val="000000"/>
          <w:sz w:val="27"/>
          <w:szCs w:val="27"/>
          <w:lang w:eastAsia="pt-BR"/>
        </w:rPr>
        <w:t>Dezembro</w:t>
      </w:r>
      <w:proofErr w:type="gramEnd"/>
      <w:r w:rsidRPr="003807ED">
        <w:rPr>
          <w:rFonts w:ascii="Calibri" w:eastAsia="Times New Roman" w:hAnsi="Calibri" w:cs="Calibri"/>
          <w:color w:val="000000"/>
          <w:sz w:val="27"/>
          <w:szCs w:val="27"/>
          <w:lang w:eastAsia="pt-BR"/>
        </w:rPr>
        <w:t xml:space="preserve"> de 2021 Art. 4º O Programa Pra Ter Onde Morar, quanto à construção, tem o objetivo de construir ou concluir unidades habitacionais de interesse social em municípios do Estado de Goiás, para posterior doação a famílias vulneráveis social e economicamente. (Ver Nota Explicativa 12.6.3).</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Em 2025, foram realizadas baixas de 2.692 (Duas mil, </w:t>
      </w:r>
      <w:proofErr w:type="gramStart"/>
      <w:r w:rsidRPr="003807ED">
        <w:rPr>
          <w:rFonts w:ascii="Calibri" w:eastAsia="Times New Roman" w:hAnsi="Calibri" w:cs="Calibri"/>
          <w:color w:val="000000"/>
          <w:sz w:val="27"/>
          <w:szCs w:val="27"/>
          <w:lang w:eastAsia="pt-BR"/>
        </w:rPr>
        <w:t>Seiscentos e Noventa</w:t>
      </w:r>
      <w:proofErr w:type="gramEnd"/>
      <w:r w:rsidRPr="003807ED">
        <w:rPr>
          <w:rFonts w:ascii="Calibri" w:eastAsia="Times New Roman" w:hAnsi="Calibri" w:cs="Calibri"/>
          <w:color w:val="000000"/>
          <w:sz w:val="27"/>
          <w:szCs w:val="27"/>
          <w:lang w:eastAsia="pt-BR"/>
        </w:rPr>
        <w:t xml:space="preserve"> e Duas) Unidades Habitacionais construídas oriunda do programa habitacional CASAS A CUSTO ZERO com recurso SUBVENÇÃO GOVERNAMENTAL oriundo do Tesouro do Estado de Goiás e Obras Retomadas com Recurso Ordinário do Estado de Goiás, totalizando R$ 332.101.556,05 (trezentos e trinta e dois milhões, cento e um mil quinhentos e cinquenta e seis reais e cinco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b.2) Aluguel Social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Convênio nº 2023090000033/2023 com a Agência de Fomento de Goiás S/A , tem por objeto promover a transferência de recurso para consecução das ações do "Programa Pra Ter Onde Morar", instituído pela Lei nº 21.186, de 30 de novembro de 2021, para pessoas e famílias em vulnerabilidade socioeconômica, estudantes universitários da Universidade Estadual de Goiás e beneficiários do Programa Universitário do Bem – PROBEM, todos inscritos no Cadastro Único para Programas Sociais do Governo Federal - </w:t>
      </w:r>
      <w:proofErr w:type="spellStart"/>
      <w:r w:rsidRPr="003807ED">
        <w:rPr>
          <w:rFonts w:ascii="Calibri" w:eastAsia="Times New Roman" w:hAnsi="Calibri" w:cs="Calibri"/>
          <w:color w:val="000000"/>
          <w:sz w:val="27"/>
          <w:szCs w:val="27"/>
          <w:lang w:eastAsia="pt-BR"/>
        </w:rPr>
        <w:t>CadÚnico</w:t>
      </w:r>
      <w:proofErr w:type="spellEnd"/>
      <w:r w:rsidRPr="003807ED">
        <w:rPr>
          <w:rFonts w:ascii="Calibri" w:eastAsia="Times New Roman" w:hAnsi="Calibri" w:cs="Calibri"/>
          <w:color w:val="000000"/>
          <w:sz w:val="27"/>
          <w:szCs w:val="27"/>
          <w:lang w:eastAsia="pt-BR"/>
        </w:rPr>
        <w:t xml:space="preserve"> e que tenham atendido os critérios estabelecidos na referida Lei, com o objetivo de promoção do direito social à moradia digna por intermédio de transferência de renda direta para família, a fim de custear a locação de imóveis residenciais ou o pagamento da prestação da casa própria.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 Agência de Fomento de Goiás S/A - GOIÁS FOMENTO oferece à AGEHAB suporte operacional quanto à liberação dos recursos aos beneficiários por meio de conta digital, na forma prevista no Plano de Trabalho em anexo, atuando como agente financeiro do programa, conforme preconizado no Art. 3º da Lei Nº 13.533, de 15 de outubro de 1999.</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b.3) Regularização Fundiária e Cadastro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Serviços prestados por pessoa jurídica considerando às contratações por meio de processo licitatório obedecendo o regulamento interno de licitações e contratos da Agência Goiana de Habitação S/A para execução da regularização fundiária e cadastramento de beneficiários.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b.4) Reforma de Unidades Habitacionais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Em 2025, por meio de convênios celebrados com os municípios de Nova América em andamento reforma em 78 (Setenta e Oito) Unidades Habitacionais e em Americano de Brasil e em </w:t>
      </w:r>
      <w:proofErr w:type="gramStart"/>
      <w:r w:rsidRPr="003807ED">
        <w:rPr>
          <w:rFonts w:ascii="Calibri" w:eastAsia="Times New Roman" w:hAnsi="Calibri" w:cs="Calibri"/>
          <w:color w:val="000000"/>
          <w:sz w:val="27"/>
          <w:szCs w:val="27"/>
          <w:lang w:eastAsia="pt-BR"/>
        </w:rPr>
        <w:t>andamento  reforma</w:t>
      </w:r>
      <w:proofErr w:type="gramEnd"/>
      <w:r w:rsidRPr="003807ED">
        <w:rPr>
          <w:rFonts w:ascii="Calibri" w:eastAsia="Times New Roman" w:hAnsi="Calibri" w:cs="Calibri"/>
          <w:color w:val="000000"/>
          <w:sz w:val="27"/>
          <w:szCs w:val="27"/>
          <w:lang w:eastAsia="pt-BR"/>
        </w:rPr>
        <w:t xml:space="preserve"> em 40 (Quarenta) Unidades Habitacionais.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b.5) Serviços Construção Civil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Serviços prestados por pessoa jurídica para elaboração e aprovação de projeto de rede distribuição de energia elétrica no setor residencial Zilda Arns processo 202500031007150.</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23.3.2. OUTROS CUSTOS DOS SERVIÇOS PRESTADOS, totalizando R$ 68.657.729,70 (sessenta e oito milhões, seiscentos e cinquenta e sete mil setecentos e vinte e nove reais e setenta centavos)</w:t>
      </w:r>
    </w:p>
    <w:tbl>
      <w:tblPr>
        <w:tblW w:w="19484"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9885"/>
        <w:gridCol w:w="1889"/>
        <w:gridCol w:w="3855"/>
        <w:gridCol w:w="3855"/>
      </w:tblGrid>
      <w:tr w:rsidR="003807ED" w:rsidRPr="003807ED" w:rsidTr="003807ED">
        <w:trPr>
          <w:trHeight w:val="300"/>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Nota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OUTROS CUSTOS DOS SERVIÇOS PRESTADOS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23.3.2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(68.657.729,70)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(60.847.185,20)</w:t>
            </w:r>
          </w:p>
        </w:tc>
      </w:tr>
      <w:tr w:rsidR="003807ED" w:rsidRPr="003807ED" w:rsidTr="003807ED">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Mão de Obra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(55.841.240,93)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(51.702.796,55)</w:t>
            </w:r>
          </w:p>
        </w:tc>
      </w:tr>
      <w:tr w:rsidR="003807ED" w:rsidRPr="003807ED" w:rsidTr="003807ED">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Serviços de Terceiros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(10.311.469,29)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(7.716.428,18)</w:t>
            </w:r>
          </w:p>
        </w:tc>
      </w:tr>
      <w:tr w:rsidR="003807ED" w:rsidRPr="003807ED" w:rsidTr="003807ED">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Outros Custos Operacionais  (c)</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(848.031,03)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(744.575,42)</w:t>
            </w:r>
          </w:p>
        </w:tc>
      </w:tr>
      <w:tr w:rsidR="003807ED" w:rsidRPr="003807ED" w:rsidTr="003807ED">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Custo com Obras Administradas  (d)</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(1.656.988,45)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(683.385,05)</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 Gastos com Pessoal referem-se ao custo com os empregados públicos Efetivos, Comissionados, Diretoria Executiva, membros dos conselhos(Comitê de Auditoria Estatutário, Conselho Fiscal e de Administração), incluídos as verbas salariais, provisões de férias e 13º salário, encargos sociais(Contribuição Previdenciária Patronal, FGTS, Fundos de Previdências estaduais e municipais), vale alimentação/refeição, vale transporte, seguro de vida, auxílios, despesas relacionadas com segurança do trabalho, despesa com estagiários, portadores de necessidade especiais e terceirizados ligados a funções administrativas, conforme determina as legislações, subsidiado pelo Governo do Estado de Goiás através da Subvenção para Custeio e parte com Receita Arrecadada, apropriados conforme regime de competência segregados por Custos e Despesas.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Considerando Custos, os servidores ligados nas atividades finalísticas, ou seja, os servidores que executam atividades nos Programas Habitacionais e Despesas são os servidores ligados na manutenção dos atos administrativos.</w:t>
      </w:r>
    </w:p>
    <w:tbl>
      <w:tblPr>
        <w:tblW w:w="826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176"/>
        <w:gridCol w:w="2542"/>
        <w:gridCol w:w="2542"/>
      </w:tblGrid>
      <w:tr w:rsidR="003807ED" w:rsidRPr="003807ED" w:rsidTr="003807ED">
        <w:trPr>
          <w:trHeight w:val="25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PESSOAL E ENCARGOS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Custos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R$ 55.841.240,93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R$ 51.702.796,55</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Despesas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R$ 14.977.282,46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R$ 13.477.398,65</w:t>
            </w:r>
          </w:p>
        </w:tc>
      </w:tr>
      <w:tr w:rsidR="003807ED" w:rsidRPr="003807ED" w:rsidTr="003807ED">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R$ 70.818.523,39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R$ 65.180.195,20</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 Serviços de Terceiros separados entre os grupos Custo e Despesa refere-se aos serviços prestados por pessoa jurídica sendo as contratações por meio de processo licitatório obedecendo o regulamento interno de licitações e contratos da AGEHAB.</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Os serviços são: locações de equipamentos de informática, manutenções de sistemas internos, locações de veículos, locações de bens para eventos, serviços de limpeza e conservação, serviços de portaria e vigilância, locação de bens imóveis, serviços de comunicação e de telefonia, publicações de editais e atos oficiais.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c) Outros Custos Operacionais: Pagamentos de diárias à servidores para deslocamentos viagens para eventos, fiscalizações de obras, entrega de benefícios e gastos com materiais para eventos.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d) Custo com Obras Administradas: </w:t>
      </w:r>
      <w:r w:rsidRPr="003807ED">
        <w:rPr>
          <w:rFonts w:ascii="Calibri" w:eastAsia="Times New Roman" w:hAnsi="Calibri" w:cs="Calibri"/>
          <w:color w:val="000000"/>
          <w:sz w:val="24"/>
          <w:szCs w:val="24"/>
          <w:lang w:eastAsia="pt-BR"/>
        </w:rPr>
        <w:t> No Exercício Social de 2025 ocorreu à conclusão documental referente construção das 50 (Cinquenta) unidades habitacionais no município de Damianópolis/Goiás, Processo 202200031001603, oriundo de Convênios Federais FGTS/CAIXA.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23.4. DESPESAS OPERACIONAIS, totalizando r$ 24.323.639,06 (vinte e quatro milhões, trezentos e vinte e três mil seiscentos e trinta e nove reais e seis centavos)</w:t>
      </w:r>
    </w:p>
    <w:tbl>
      <w:tblPr>
        <w:tblW w:w="19484"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586"/>
        <w:gridCol w:w="1548"/>
        <w:gridCol w:w="3675"/>
        <w:gridCol w:w="3675"/>
      </w:tblGrid>
      <w:tr w:rsidR="003807ED" w:rsidRPr="003807ED" w:rsidTr="003807ED">
        <w:trPr>
          <w:trHeight w:val="300"/>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Nota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DESPESAS OPERACIONAIS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23.4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(24.323.639,06)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(16.849.557,11)</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Despesas com Pessoal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(14.977.282,46)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(13.477.398,65)</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Serviço de Terceiros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(3.228.497,41)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(2.461.170,06)</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Despesas Gerais Administrativas (c)</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(2.613.232,59)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(822.530,46)</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Despesas Tributárias (d)</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(382.389,04)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(143.256,18)</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Outras Receitas e Outras Despesas Operacionais (e)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(3.122.237,56)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54.798,24</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 Gastos com Pessoal referem-se às despesas com os Empregados Públicos Efetivos, Comissionados, Diretoria Executiva, membros dos conselhos(Comitê de Auditoria Estatutário, Conselho Fiscal e de Administração), incluídos as verbas salariais, provisões de férias e 13º salário, encargos sociais(Contribuição Previdenciária Patronal, FGTS, Fundos de Previdências estaduais e municipais), vale alimentação/refeição, vale transporte, seguro de vida, auxílios, despesas relacionadas com segurança do trabalho, despesa com estagiários, portadores de necessidade especiais e terceirizados ligados a funções administrativas, conforme determina as legislações, subsidiado pelo Governo do Estado de Goiás através da Subvenção para Custeio e parte com Receita Arrecadada, apropriados conforme regime de competência segregados por Custos e Despesas.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Considerando Custos, os servidores ligados nas atividades finalísticas, ou seja, os servidores que executam atividades nos Programas Habitacionais e Despesas são os servidores ligados na manutenção dos atos administrativos.</w:t>
      </w:r>
    </w:p>
    <w:tbl>
      <w:tblPr>
        <w:tblW w:w="6828"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626"/>
        <w:gridCol w:w="2101"/>
        <w:gridCol w:w="2101"/>
      </w:tblGrid>
      <w:tr w:rsidR="003807ED" w:rsidRPr="003807ED" w:rsidTr="003807ED">
        <w:trPr>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PESSOAL E ENCARGOS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Custos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R$ 55.841.240,93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R$ 51.702.796,55</w:t>
            </w:r>
          </w:p>
        </w:tc>
      </w:tr>
      <w:tr w:rsidR="003807ED" w:rsidRPr="003807ED" w:rsidTr="003807ED">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Despesas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R$ 14.977.282,46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R$ 13.477.398,65</w:t>
            </w:r>
          </w:p>
        </w:tc>
      </w:tr>
      <w:tr w:rsidR="003807ED" w:rsidRPr="003807ED" w:rsidTr="003807ED">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R$ 70.818.523,39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R$ 65.180.195,20</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 Serviços de Terceiros separados entre os grupos Custo e Despesa refere-se aos serviços prestados por pessoa jurídica sendo as contratações por meio de processo licitatório obedecendo o regulamento interno de licitações e contratos da AGEHAB.</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c) Despesas Gerais e Administrativas subsidiados com Subvenção Governamental para Custeio, materiais de escritório, informática, gêneros alimentícios, materiais para manutenções estrutura física, segurança do trabalho, energia elétrica, água esgoto, acesso à internet.</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proofErr w:type="gramStart"/>
      <w:r w:rsidRPr="003807ED">
        <w:rPr>
          <w:rFonts w:ascii="Calibri" w:eastAsia="Times New Roman" w:hAnsi="Calibri" w:cs="Calibri"/>
          <w:color w:val="000000"/>
          <w:sz w:val="27"/>
          <w:szCs w:val="27"/>
          <w:lang w:eastAsia="pt-BR"/>
        </w:rPr>
        <w:t>d) Tributárias</w:t>
      </w:r>
      <w:proofErr w:type="gramEnd"/>
      <w:r w:rsidRPr="003807ED">
        <w:rPr>
          <w:rFonts w:ascii="Calibri" w:eastAsia="Times New Roman" w:hAnsi="Calibri" w:cs="Calibri"/>
          <w:color w:val="000000"/>
          <w:sz w:val="27"/>
          <w:szCs w:val="27"/>
          <w:lang w:eastAsia="pt-BR"/>
        </w:rPr>
        <w:t xml:space="preserve"> referem-se ao pagamento IOF, PIS, COFINS, IPTU e ITU, outras taxas estaduais e municipais.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e) Outras Receitas refere-se indenização oriunda de processo judicial, recuperação de despesas, reversão de crédito de liquidação duvidosa e Outras Despesas referem-se </w:t>
      </w:r>
      <w:proofErr w:type="gramStart"/>
      <w:r w:rsidRPr="003807ED">
        <w:rPr>
          <w:rFonts w:ascii="Calibri" w:eastAsia="Times New Roman" w:hAnsi="Calibri" w:cs="Calibri"/>
          <w:color w:val="000000"/>
          <w:sz w:val="27"/>
          <w:szCs w:val="27"/>
          <w:lang w:eastAsia="pt-BR"/>
        </w:rPr>
        <w:t>a</w:t>
      </w:r>
      <w:proofErr w:type="gramEnd"/>
      <w:r w:rsidRPr="003807ED">
        <w:rPr>
          <w:rFonts w:ascii="Calibri" w:eastAsia="Times New Roman" w:hAnsi="Calibri" w:cs="Calibri"/>
          <w:color w:val="000000"/>
          <w:sz w:val="27"/>
          <w:szCs w:val="27"/>
          <w:lang w:eastAsia="pt-BR"/>
        </w:rPr>
        <w:t xml:space="preserve"> depreciação/amortização/provisões judiciais (contingências) e reversão financeira oriunda do Tesouro do Estado de Goiás.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23.5. Receitas e Despesas Financeiras</w:t>
      </w:r>
    </w:p>
    <w:tbl>
      <w:tblPr>
        <w:tblW w:w="19484"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9472"/>
        <w:gridCol w:w="1988"/>
        <w:gridCol w:w="4024"/>
        <w:gridCol w:w="4000"/>
      </w:tblGrid>
      <w:tr w:rsidR="003807ED" w:rsidRPr="003807ED" w:rsidTr="003807ED">
        <w:trPr>
          <w:trHeight w:val="300"/>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Nota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RESULTADO FINANCEIRO LÍQUIDO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23.5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1.573.094,36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905.982,89</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Receitas Financeiras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1.612.747,01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1.037.746,59</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Despesas Financeiras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(39.652,65)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(131.763,70)</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23.5.1. Receitas Financeiras Rendimentos de Aplicações Financeiras e Remunerações de Contas aplicadas em Poupança, atualização monetária dos créditos fiscais e valores a receber e Despesas Financeiras com Tarifas bancárias.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23.6. Resultado Líquido do Período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23.6.1. O Resultado apurado em 2025 da Agência Goiana de Habitação S/A é de R$ 200.006.423,24 (duzentos milhões, seis mil quatrocentos e vinte e três reais e vinte e quatro centavos), considerando os seus recursos arrecadados, as subvenções governamentais </w:t>
      </w:r>
      <w:proofErr w:type="gramStart"/>
      <w:r w:rsidRPr="003807ED">
        <w:rPr>
          <w:rFonts w:ascii="Calibri" w:eastAsia="Times New Roman" w:hAnsi="Calibri" w:cs="Calibri"/>
          <w:color w:val="000000"/>
          <w:sz w:val="27"/>
          <w:szCs w:val="27"/>
          <w:lang w:eastAsia="pt-BR"/>
        </w:rPr>
        <w:t>recebidas ,</w:t>
      </w:r>
      <w:proofErr w:type="gramEnd"/>
      <w:r w:rsidRPr="003807ED">
        <w:rPr>
          <w:rFonts w:ascii="Calibri" w:eastAsia="Times New Roman" w:hAnsi="Calibri" w:cs="Calibri"/>
          <w:color w:val="000000"/>
          <w:sz w:val="27"/>
          <w:szCs w:val="27"/>
          <w:lang w:eastAsia="pt-BR"/>
        </w:rPr>
        <w:t xml:space="preserve"> sendo aplicados no Programas Habitacionais, pessoal e encargos e manutenções em gerais.</w:t>
      </w:r>
    </w:p>
    <w:tbl>
      <w:tblPr>
        <w:tblW w:w="19484"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9355"/>
        <w:gridCol w:w="1785"/>
        <w:gridCol w:w="4172"/>
        <w:gridCol w:w="4172"/>
      </w:tblGrid>
      <w:tr w:rsidR="003807ED" w:rsidRPr="003807ED" w:rsidTr="003807ED">
        <w:trPr>
          <w:trHeight w:val="300"/>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Nota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 RESULTADO LÍQUIDO DO PERÍODO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200.006.423,24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146.950.636,65</w:t>
            </w:r>
          </w:p>
        </w:tc>
      </w:tr>
    </w:tbl>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24. DEMONSTRAÇÃO DOS FLUXOS DE CAIXA (DFC)</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Método Indireto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 A Demonstração de FLUXO DE CAIXA – DFC é obrigatória conforme determina a Lei Federal n. 11.638.2007 e o item 3.17 da Norma Brasileira de Contabilidade </w:t>
      </w:r>
      <w:hyperlink r:id="rId47" w:tgtFrame="_blank" w:history="1">
        <w:r w:rsidRPr="003807ED">
          <w:rPr>
            <w:rFonts w:ascii="Calibri" w:eastAsia="Times New Roman" w:hAnsi="Calibri" w:cs="Calibri"/>
            <w:color w:val="0000FF"/>
            <w:sz w:val="27"/>
            <w:szCs w:val="27"/>
            <w:u w:val="single"/>
            <w:lang w:eastAsia="pt-BR"/>
          </w:rPr>
          <w:t>NBC TG 1000</w:t>
        </w:r>
      </w:hyperlink>
      <w:r w:rsidRPr="003807ED">
        <w:rPr>
          <w:rFonts w:ascii="Calibri" w:eastAsia="Times New Roman" w:hAnsi="Calibri" w:cs="Calibri"/>
          <w:color w:val="000000"/>
          <w:sz w:val="27"/>
          <w:szCs w:val="27"/>
          <w:lang w:eastAsia="pt-BR"/>
        </w:rPr>
        <w:t>, apresentado através das </w:t>
      </w:r>
      <w:r w:rsidRPr="003807ED">
        <w:rPr>
          <w:rFonts w:ascii="Calibri" w:eastAsia="Times New Roman" w:hAnsi="Calibri" w:cs="Calibri"/>
          <w:b/>
          <w:bCs/>
          <w:color w:val="000000"/>
          <w:sz w:val="27"/>
          <w:szCs w:val="27"/>
          <w:lang w:eastAsia="pt-BR"/>
        </w:rPr>
        <w:t>Atividades Operacionais</w:t>
      </w:r>
      <w:r w:rsidRPr="003807ED">
        <w:rPr>
          <w:rFonts w:ascii="Calibri" w:eastAsia="Times New Roman" w:hAnsi="Calibri" w:cs="Calibri"/>
          <w:color w:val="000000"/>
          <w:sz w:val="27"/>
          <w:szCs w:val="27"/>
          <w:lang w:eastAsia="pt-BR"/>
        </w:rPr>
        <w:t>, de</w:t>
      </w:r>
      <w:r w:rsidRPr="003807ED">
        <w:rPr>
          <w:rFonts w:ascii="Calibri" w:eastAsia="Times New Roman" w:hAnsi="Calibri" w:cs="Calibri"/>
          <w:b/>
          <w:bCs/>
          <w:color w:val="000000"/>
          <w:sz w:val="27"/>
          <w:szCs w:val="27"/>
          <w:lang w:eastAsia="pt-BR"/>
        </w:rPr>
        <w:t> Investimento</w:t>
      </w:r>
      <w:r w:rsidRPr="003807ED">
        <w:rPr>
          <w:rFonts w:ascii="Calibri" w:eastAsia="Times New Roman" w:hAnsi="Calibri" w:cs="Calibri"/>
          <w:color w:val="000000"/>
          <w:sz w:val="27"/>
          <w:szCs w:val="27"/>
          <w:lang w:eastAsia="pt-BR"/>
        </w:rPr>
        <w:t> e </w:t>
      </w:r>
      <w:r w:rsidRPr="003807ED">
        <w:rPr>
          <w:rFonts w:ascii="Calibri" w:eastAsia="Times New Roman" w:hAnsi="Calibri" w:cs="Calibri"/>
          <w:b/>
          <w:bCs/>
          <w:color w:val="000000"/>
          <w:sz w:val="27"/>
          <w:szCs w:val="27"/>
          <w:lang w:eastAsia="pt-BR"/>
        </w:rPr>
        <w:t>de Financiamento</w:t>
      </w:r>
      <w:r w:rsidRPr="003807ED">
        <w:rPr>
          <w:rFonts w:ascii="Calibri" w:eastAsia="Times New Roman" w:hAnsi="Calibri" w:cs="Calibri"/>
          <w:color w:val="000000"/>
          <w:sz w:val="27"/>
          <w:szCs w:val="27"/>
          <w:lang w:eastAsia="pt-BR"/>
        </w:rPr>
        <w:t>.</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24.1. Atividades Operacionais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24.1. Em 2025, foi apurado aumento do Caixa nas Atividades Operacionais de R$ 300.821.783,29 (trezentos milhões, oitocentos e vinte e um mil setecentos e oitenta e três reais e vinte e nove centavos) que </w:t>
      </w:r>
      <w:proofErr w:type="gramStart"/>
      <w:r w:rsidRPr="003807ED">
        <w:rPr>
          <w:rFonts w:ascii="Calibri" w:eastAsia="Times New Roman" w:hAnsi="Calibri" w:cs="Calibri"/>
          <w:color w:val="000000"/>
          <w:sz w:val="27"/>
          <w:szCs w:val="27"/>
          <w:lang w:eastAsia="pt-BR"/>
        </w:rPr>
        <w:t>justifica-se</w:t>
      </w:r>
      <w:proofErr w:type="gramEnd"/>
      <w:r w:rsidRPr="003807ED">
        <w:rPr>
          <w:rFonts w:ascii="Calibri" w:eastAsia="Times New Roman" w:hAnsi="Calibri" w:cs="Calibri"/>
          <w:color w:val="000000"/>
          <w:sz w:val="27"/>
          <w:szCs w:val="27"/>
          <w:lang w:eastAsia="pt-BR"/>
        </w:rPr>
        <w:t xml:space="preserve"> pelas transferências financeiras do Fundo Protege para contas especificas em nome da AGEHAB, para subsidiar construção de unidades Habitacionais por meio de convênios com o fundo FAR/CAIXA. </w:t>
      </w:r>
    </w:p>
    <w:tbl>
      <w:tblPr>
        <w:tblW w:w="2160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3423"/>
        <w:gridCol w:w="1393"/>
        <w:gridCol w:w="3258"/>
        <w:gridCol w:w="3526"/>
      </w:tblGrid>
      <w:tr w:rsidR="003807ED" w:rsidRPr="003807ED" w:rsidTr="003807ED">
        <w:trPr>
          <w:trHeight w:val="31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Nota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b/>
                <w:bCs/>
                <w:color w:val="000000"/>
                <w:lang w:eastAsia="pt-BR"/>
              </w:rPr>
              <w:t>Atividades Operacionais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24.1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Lucro Líquido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200.006.423,24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146.950.636,65</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b/>
                <w:bCs/>
                <w:color w:val="000000"/>
                <w:lang w:eastAsia="pt-BR"/>
              </w:rPr>
              <w:t>Ajustes de: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1.918.094,62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1.356.535,16</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Depreciação e Amortização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1.918.094,62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1.356.535,16</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b/>
                <w:bCs/>
                <w:color w:val="000000"/>
                <w:lang w:eastAsia="pt-BR"/>
              </w:rPr>
              <w:t>Variação no Capital Circulante e Não Circulante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98.897.265,43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(131.561.854,33)</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Contas a Receber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(21.943,74)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12.884,79</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Adiantamento a Obras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929.214,59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1.428.591,90</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Antecipações a Empregados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(37.948,02)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(76.454,73)</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Tributos a Recuperar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(59.757,37)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(95.302,85)</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Despesas Antecipadas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8.988,41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5,14</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Estoque de Bens do almoxarifado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9.529,95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(38.538,13)</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Obrigações Trabalhistas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83.467,81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(47.459,25)</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Obrigações Sociais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1.890.926,79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(1.156.226,06)</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Obrigações Tributárias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1.470.591,24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53.978,45</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Contas a Pagar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1.925.534,58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21.437,57</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Tributos Parcelados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(78.411,32)</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Provisões Trabalhistas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646.554,08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1.324.354,67</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Subvenção Governamental a Realizar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91.791.749,65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(132.429.115,24)</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Cauções a Restituir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(1.483,37)</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Créditos Vinculados Convênios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260.357,46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(480.115,90)</w:t>
            </w:r>
          </w:p>
        </w:tc>
      </w:tr>
      <w:tr w:rsidR="003807ED" w:rsidRPr="003807ED" w:rsidTr="003807ED">
        <w:trPr>
          <w:trHeight w:val="315"/>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 = ) Caixa Líquido Consumido nas Atividades  Operacionais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300.821.783,29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16.745.317,48</w:t>
            </w:r>
          </w:p>
        </w:tc>
      </w:tr>
    </w:tbl>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24.2. Atividades de Investimento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24.2. A redução no Caixa da Atividade de Investimento no valor de R$ 3.816.712,67 (três milhões, oitocentos e dezesseis mil setecentos e doze reais e sessenta e sete centavos) referem-se às aquisições de mobiliário e bens de informática e contratação de empresa especializada em desenvolvimento de Software.</w:t>
      </w:r>
    </w:p>
    <w:tbl>
      <w:tblPr>
        <w:tblW w:w="2160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2685"/>
        <w:gridCol w:w="2757"/>
        <w:gridCol w:w="3079"/>
        <w:gridCol w:w="3079"/>
      </w:tblGrid>
      <w:tr w:rsidR="003807ED" w:rsidRPr="003807ED" w:rsidTr="003807ED">
        <w:trPr>
          <w:trHeight w:val="31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Nota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b/>
                <w:bCs/>
                <w:color w:val="000000"/>
                <w:lang w:eastAsia="pt-BR"/>
              </w:rPr>
              <w:t>Atividades De Investimento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b/>
                <w:bCs/>
                <w:color w:val="000000"/>
                <w:lang w:eastAsia="pt-BR"/>
              </w:rPr>
              <w:t>           24.2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Aquisição de  Imobilizado/Desenvolvimento de Software,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(3.827.467,62)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(2.845.011,82)</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Baixa de Imobilizado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10.754,95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b/>
                <w:bCs/>
                <w:color w:val="000000"/>
                <w:lang w:eastAsia="pt-BR"/>
              </w:rPr>
              <w:t>( = ) Caixa Líquido Consumido nas Atividades de Investimentos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(3.816.712,67)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(2.845.011,82)</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24.3. Atividades de Financiamento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24.3. A redução no Caixa da Atividade de Financiamento no valor  R$ 193.082.454,74 (cento e noventa e três milhões, oitenta e dois mil quatrocentos e cinquenta e quatro reais e setenta e quatro centavos) refere-se aos valores quitados para subsidiar os Programas Habitacionais ação social Construção de Unidades Habitacionais (CASAS A CUSTO ZERO), cujo valores estão contabilizados na Conta Obras em Andamento, sendo que as baixas ocorreram a medida das conclusões e doações das Unidades Habitacionais aos beneficiários goianos.</w:t>
      </w:r>
    </w:p>
    <w:tbl>
      <w:tblPr>
        <w:tblW w:w="2160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4014"/>
        <w:gridCol w:w="1252"/>
        <w:gridCol w:w="3167"/>
        <w:gridCol w:w="3167"/>
      </w:tblGrid>
      <w:tr w:rsidR="003807ED" w:rsidRPr="003807ED" w:rsidTr="003807ED">
        <w:trPr>
          <w:trHeight w:val="31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Nota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b/>
                <w:bCs/>
                <w:color w:val="000000"/>
                <w:lang w:eastAsia="pt-BR"/>
              </w:rPr>
              <w:t>Atividades de Financiamento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24.3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Devedores com Vendas Compromissadas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40.664,28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32.617,16</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Unidades Residenciais Programas de Governo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429.809,70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Terrenos Edificações ou Urbanização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93.339,36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10.371,04</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Tributos a Recuperar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(40.625,07)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661.554,90</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Obras em Andamento Programas Habitacionais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(190.272.281,48)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(146.122.982,49)</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Obras Concluídas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(2.292.361,53)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Aumento/Redução em Contingencias Judiciais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(1.041.000,00)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(2.781.957,91)</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Aquisição de ações para tesouraria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(1.636,00)</w:t>
            </w:r>
          </w:p>
        </w:tc>
      </w:tr>
      <w:tr w:rsidR="003807ED" w:rsidRPr="003807ED" w:rsidTr="003807ED">
        <w:trPr>
          <w:trHeight w:val="315"/>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 = ) Caixa Líquido Consumido nas Atividades de Financiamento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(193.082.454,74)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(148.202.033,30)</w:t>
            </w:r>
          </w:p>
        </w:tc>
      </w:tr>
    </w:tbl>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24.4. O Aumento no líquido nas Disponibilidades em 2025 no valor de R$ 103.922.615,88 (cento e três milhões, novecentos e vinte e dois mil seiscentos e quinze reais e oitenta e oito centavos) refere-se </w:t>
      </w:r>
      <w:proofErr w:type="gramStart"/>
      <w:r w:rsidRPr="003807ED">
        <w:rPr>
          <w:rFonts w:ascii="Calibri" w:eastAsia="Times New Roman" w:hAnsi="Calibri" w:cs="Calibri"/>
          <w:color w:val="000000"/>
          <w:sz w:val="27"/>
          <w:szCs w:val="27"/>
          <w:lang w:eastAsia="pt-BR"/>
        </w:rPr>
        <w:t>a</w:t>
      </w:r>
      <w:proofErr w:type="gramEnd"/>
      <w:r w:rsidRPr="003807ED">
        <w:rPr>
          <w:rFonts w:ascii="Calibri" w:eastAsia="Times New Roman" w:hAnsi="Calibri" w:cs="Calibri"/>
          <w:color w:val="000000"/>
          <w:sz w:val="27"/>
          <w:szCs w:val="27"/>
          <w:lang w:eastAsia="pt-BR"/>
        </w:rPr>
        <w:t xml:space="preserve"> recomposição financeira dos restos a pagar da fonte protege para subsidiar os programas Habitacionais e Subvenção para Custeio e das disponibilidades financeiras para construções dos empreendimentos FAR/PROTEGE.</w:t>
      </w:r>
    </w:p>
    <w:tbl>
      <w:tblPr>
        <w:tblW w:w="2160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57"/>
        <w:gridCol w:w="1643"/>
        <w:gridCol w:w="3842"/>
        <w:gridCol w:w="4158"/>
      </w:tblGrid>
      <w:tr w:rsidR="003807ED" w:rsidRPr="003807ED" w:rsidTr="003807ED">
        <w:trPr>
          <w:trHeight w:val="31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Nota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 = ) (Redução)/Aumento Líquido nas Disponibilidades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24.4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103.922.615,88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(134.301.727,64)</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Saldo de Caixa Início do Exercício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172.390.700,27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306.692.427,91</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Saldo de Caixa Final do Exercício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276.313.316,15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172.390.700,27</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 = ) Saldo de Caixa Final - Equivalente Caixa Inicial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24.4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103.922.615,88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(134.301.727,64)</w:t>
            </w:r>
          </w:p>
        </w:tc>
      </w:tr>
    </w:tbl>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firstLine="1699"/>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25. DEMONSTRAÇÃO DO VALOR ADICIONADO (DVA)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proofErr w:type="gramStart"/>
      <w:r w:rsidRPr="003807ED">
        <w:rPr>
          <w:rFonts w:ascii="Calibri" w:eastAsia="Times New Roman" w:hAnsi="Calibri" w:cs="Calibri"/>
          <w:color w:val="000000"/>
          <w:sz w:val="27"/>
          <w:szCs w:val="27"/>
          <w:lang w:eastAsia="pt-BR"/>
        </w:rPr>
        <w:t>a) Tem</w:t>
      </w:r>
      <w:proofErr w:type="gramEnd"/>
      <w:r w:rsidRPr="003807ED">
        <w:rPr>
          <w:rFonts w:ascii="Calibri" w:eastAsia="Times New Roman" w:hAnsi="Calibri" w:cs="Calibri"/>
          <w:color w:val="000000"/>
          <w:sz w:val="27"/>
          <w:szCs w:val="27"/>
          <w:lang w:eastAsia="pt-BR"/>
        </w:rPr>
        <w:t xml:space="preserve"> por finalidade evidenciar a riqueza gerada pela AGEHAB e sua distribuição do Resultado do período, sendo requerida pelas práticas contábeis adotadas no Brasil e apresentada como informação suplementar às informações contábeis intermediárias para fins de IFRS.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 A Demonstração do Valor Adicionado foi preparada com base em informações obtidas dos registros contábeis que servem de base para preparação das informações anuais e seguindo as disposições contidas no CPC 09 - Demonstração do Valor Adicionado.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25.1. Na primeira parte apresenta a riqueza gerada por meio das RECEITAS (Alienação de terrenos, Receita Bruta de Serviços, Subvenção Governamental para Custeio, Subvenção Governamental para subsidiar os Programas Habitacionais do Estado de Goiás e Outras Receitas) no total de R$ 746.207.431,37 (setecentos e quarenta e seis milhões, duzentos e sete mil quatrocentos e trinta e um reais e trinta e sete centavos).</w:t>
      </w:r>
    </w:p>
    <w:tbl>
      <w:tblPr>
        <w:tblW w:w="2112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2662"/>
        <w:gridCol w:w="1490"/>
        <w:gridCol w:w="3484"/>
        <w:gridCol w:w="3484"/>
      </w:tblGrid>
      <w:tr w:rsidR="003807ED" w:rsidRPr="003807ED" w:rsidTr="003807ED">
        <w:trPr>
          <w:trHeight w:val="31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Nota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RECEITAS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25.1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746.207.431,37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454.682.482,11</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Receitas Bruta de Serviço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5.060.015,14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3.607.675,37</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Receita de Alienação de Bens Imóveis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8.958.667,75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831.261,20</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Subvenção de Custeio  - Recursos Tesouro Estadual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87.791.894,10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72.434.251,74</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Subvenção Programas Habitacionais - Recursos Tesouro Estadual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642.018.075,74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373.838.867,16</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Subvenção Programas Habitacionais - Recursos União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646.890,93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893.695,85</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Outras Receitas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1.731.887,71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3.076.730,79</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25.2. Na segunda parte, incluindo os custos com os programas habitacionais e suas ações sociais, despesas de manutenções da AGEHAB, despesas financeiras, provisões diversas, depreciações/amortizações, no totalizando R$ 472.895.399,60 (quatrocentos e setenta e dois milhões, oitocentos e noventa e cinco mil trezentos e noventa e nove reais e sessenta centavos).</w:t>
      </w:r>
    </w:p>
    <w:tbl>
      <w:tblPr>
        <w:tblW w:w="2112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2543"/>
        <w:gridCol w:w="1511"/>
        <w:gridCol w:w="3533"/>
        <w:gridCol w:w="3533"/>
      </w:tblGrid>
      <w:tr w:rsidR="003807ED" w:rsidRPr="003807ED" w:rsidTr="003807ED">
        <w:trPr>
          <w:trHeight w:val="31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Nota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(-)INSUMOS ADQUIRIDOS DE TERCEIROS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472.895.399,60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241.514.485,02</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Materiais, Energia, Serviços de Terceiros e Outros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469.752.877,89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239.621.793,16</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Perda/Recuperação de Valores Ativos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400.565,65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349.573,04</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Outras Despesas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2.702.303,41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1.411.355,12</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Despesas Financeiras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39.652,65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131.763,70</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(=)VALOR ADICIONADO BRUTO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273.312.031,77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213.167.997,09</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(-)RETENÇÕES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1.751.256,21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1.261.004,39</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Depreciação, Amortização e Exaustão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1.751.256,21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1.261.004,39</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(=)VALOR ADICIONADO LÍQUIDO PRODUZIDO PELA ENTIDADE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271.560.775,56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211.906.992,70</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(+)VALOR ADICIONADO RECEBIDO EM TRANSFERÊNCIA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1.612.747,01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1.037.746,59</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Receitas Financeiras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1.612.747,01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1.037.746,59</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3807ED">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(=)VALOR ADICIONADO TOTAL A DISTRIBUIR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273.173.522,57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212.944.739,29</w:t>
            </w:r>
          </w:p>
        </w:tc>
      </w:tr>
    </w:tbl>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25.3. A terceira parte da Demonstração do Valor Adicionado apresenta a distribuição da riqueza entre despesas com pessoal, impostos, taxas e contribuições e o resultado do período no total de 273.173.522,57 (duzentos e setenta e três milhões, cento e setenta e três mil quinhentos e vinte e dois reais e cinquenta e sete centavos).</w:t>
      </w:r>
    </w:p>
    <w:tbl>
      <w:tblPr>
        <w:tblW w:w="21120" w:type="dxa"/>
        <w:tblInd w:w="-1425"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649"/>
        <w:gridCol w:w="1845"/>
        <w:gridCol w:w="4516"/>
        <w:gridCol w:w="4110"/>
      </w:tblGrid>
      <w:tr w:rsidR="003807ED" w:rsidRPr="003807ED" w:rsidTr="008F4144">
        <w:trPr>
          <w:trHeight w:val="315"/>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Nota</w:t>
            </w:r>
          </w:p>
        </w:tc>
        <w:tc>
          <w:tcPr>
            <w:tcW w:w="451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411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8F4144">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(+)DISTRIBUIÇÃO DO VALOR ADICIONADO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25.3</w:t>
            </w:r>
          </w:p>
        </w:tc>
        <w:tc>
          <w:tcPr>
            <w:tcW w:w="451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273.173.522,57</w:t>
            </w:r>
          </w:p>
        </w:tc>
        <w:tc>
          <w:tcPr>
            <w:tcW w:w="411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212.944.739,29</w:t>
            </w:r>
          </w:p>
        </w:tc>
      </w:tr>
      <w:tr w:rsidR="003807ED" w:rsidRPr="003807ED" w:rsidTr="008F4144">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Pessoal e Encargos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451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70.818.523,39</w:t>
            </w:r>
          </w:p>
        </w:tc>
        <w:tc>
          <w:tcPr>
            <w:tcW w:w="411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65.180.195,20</w:t>
            </w:r>
          </w:p>
        </w:tc>
      </w:tr>
      <w:tr w:rsidR="003807ED" w:rsidRPr="003807ED" w:rsidTr="008F4144">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Impostos, Taxas e Contribuições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451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2.348.575,94</w:t>
            </w:r>
          </w:p>
        </w:tc>
        <w:tc>
          <w:tcPr>
            <w:tcW w:w="411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813.907,44</w:t>
            </w:r>
          </w:p>
        </w:tc>
      </w:tr>
      <w:tr w:rsidR="003807ED" w:rsidRPr="003807ED" w:rsidTr="008F4144">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Lucros Retidos/Prejuízos do Exercício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451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200.006.423,24</w:t>
            </w:r>
          </w:p>
        </w:tc>
        <w:tc>
          <w:tcPr>
            <w:tcW w:w="411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146.950.636,65</w:t>
            </w:r>
          </w:p>
        </w:tc>
      </w:tr>
    </w:tbl>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26. DEMONSTRAÇÃO DO RESULTADO ABRANGENTE (DRA)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26.1. Não é obrigatória para Sociedade Anônima de Capital Fechado, mais por exigência do Tribunal de Contas do Estado de Goiás é elaborada e considerando os particulares das movimentações da AGEHAB não houveram valores quanto aos itens que compõem a Demonstração do Resultado Abrangente.</w:t>
      </w:r>
    </w:p>
    <w:tbl>
      <w:tblPr>
        <w:tblW w:w="13356"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412"/>
        <w:gridCol w:w="1472"/>
        <w:gridCol w:w="1472"/>
      </w:tblGrid>
      <w:tr w:rsidR="003807ED" w:rsidRPr="003807ED" w:rsidTr="008F4144">
        <w:trPr>
          <w:trHeight w:val="287"/>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DESCRIÇÃO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31/12/2024</w:t>
            </w:r>
          </w:p>
        </w:tc>
      </w:tr>
      <w:tr w:rsidR="003807ED" w:rsidRPr="003807ED" w:rsidTr="008F4144">
        <w:trPr>
          <w:trHeight w:val="287"/>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RESULTADO LÍQUIDO DO PERÍODO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200.006.423,24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146.950.636,65</w:t>
            </w:r>
          </w:p>
        </w:tc>
      </w:tr>
      <w:tr w:rsidR="003807ED" w:rsidRPr="003807ED" w:rsidTr="008F4144">
        <w:trPr>
          <w:trHeight w:val="287"/>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8F4144">
        <w:trPr>
          <w:trHeight w:val="779"/>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Outros resultados abrangentes classificados conforme sua natureza (outras receitas e outras despesas abrangentes)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8F4144">
        <w:trPr>
          <w:trHeight w:val="1107"/>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Parcela dos outros resultados abrangentes de empresas investidas reconhecida por meio do método de equivalência patrimonial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8F4144">
        <w:trPr>
          <w:trHeight w:val="287"/>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 </w:t>
            </w:r>
          </w:p>
        </w:tc>
      </w:tr>
      <w:tr w:rsidR="003807ED" w:rsidRPr="003807ED" w:rsidTr="008F4144">
        <w:trPr>
          <w:trHeight w:val="287"/>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RESULTADO ABRANGENTE DO PERÍODO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200.006.423,24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b/>
                <w:bCs/>
                <w:color w:val="000000"/>
                <w:sz w:val="18"/>
                <w:szCs w:val="18"/>
                <w:lang w:eastAsia="pt-BR"/>
              </w:rPr>
              <w:t>146.950.636,65</w:t>
            </w:r>
          </w:p>
        </w:tc>
      </w:tr>
    </w:tbl>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27. PARTES RELACIONADAS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27.1. Conforme previsto no PRONUNCIAMENTO TÉCNICO CPC 05 (R1) com objetivo de assegurar que as demonstrações contábeis da entidade contenham as divulgações necessárias para chamar a atenção dos usuários para a possibilidade de o balanço patrimonial e a demonstração do resultado da entidade estarem afetados pela existência de partes relacionadas e por transações e saldos, incluindo compromissos, com referidas partes relacionadas.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27.2. A Agência Goiana de Habitação S/A possui política vigente, aprovada pelo Conselho de Administração conforme Ata 456ª em 28/06/2024, para regular e orientar seu corpo de profissionais na celebração de contratos e outros ajustes envolvendo partes relacionadas e em situações que possam gerar potencial conflito de interesses nestas operações.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27.3. Dessa forma, a política de transações com partes relacionadas objetiva assegurar os interesses da Companhia, alinhado à transparência de processos e às melhores práticas de Governança Corporativa, cujas transações em 2025, conforme composição: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1. Agência de Fomento de Goiás S/A, totalizando R$ 114.625.117,16 (cento e quatorze milhões, seiscentos e vinte e cinco mil cento e dezessete reais e dezesseis centavos).</w:t>
      </w:r>
    </w:p>
    <w:tbl>
      <w:tblPr>
        <w:tblW w:w="14264" w:type="dxa"/>
        <w:tblInd w:w="12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650"/>
        <w:gridCol w:w="4467"/>
        <w:gridCol w:w="3147"/>
      </w:tblGrid>
      <w:tr w:rsidR="003807ED" w:rsidRPr="003807ED" w:rsidTr="008F4144">
        <w:trPr>
          <w:trHeight w:val="292"/>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Entidades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Natureza da Transação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sz w:val="18"/>
                <w:szCs w:val="18"/>
                <w:lang w:eastAsia="pt-BR"/>
              </w:rPr>
            </w:pPr>
            <w:r w:rsidRPr="003807ED">
              <w:rPr>
                <w:rFonts w:ascii="Calibri" w:eastAsia="Times New Roman" w:hAnsi="Calibri" w:cs="Calibri"/>
                <w:b/>
                <w:bCs/>
                <w:color w:val="000000"/>
                <w:sz w:val="18"/>
                <w:szCs w:val="18"/>
                <w:lang w:eastAsia="pt-BR"/>
              </w:rPr>
              <w:t>VALOR </w:t>
            </w:r>
          </w:p>
        </w:tc>
      </w:tr>
      <w:tr w:rsidR="003807ED" w:rsidRPr="003807ED" w:rsidTr="008F4144">
        <w:trPr>
          <w:trHeight w:val="292"/>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 Agência de Fomento de Goiás S/A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Convênio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sz w:val="18"/>
                <w:szCs w:val="18"/>
                <w:lang w:eastAsia="pt-BR"/>
              </w:rPr>
            </w:pPr>
            <w:r w:rsidRPr="003807ED">
              <w:rPr>
                <w:rFonts w:ascii="Calibri" w:eastAsia="Times New Roman" w:hAnsi="Calibri" w:cs="Calibri"/>
                <w:color w:val="000000"/>
                <w:sz w:val="18"/>
                <w:szCs w:val="18"/>
                <w:lang w:eastAsia="pt-BR"/>
              </w:rPr>
              <w:t>114.625.117,16</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a) Por meio do Convênio nº 2023090000033/2023, a AGEHAB repassou à </w:t>
      </w:r>
      <w:proofErr w:type="spellStart"/>
      <w:r w:rsidRPr="003807ED">
        <w:rPr>
          <w:rFonts w:ascii="Calibri" w:eastAsia="Times New Roman" w:hAnsi="Calibri" w:cs="Calibri"/>
          <w:color w:val="000000"/>
          <w:sz w:val="27"/>
          <w:szCs w:val="27"/>
          <w:lang w:eastAsia="pt-BR"/>
        </w:rPr>
        <w:t>GoiásFomento</w:t>
      </w:r>
      <w:proofErr w:type="spellEnd"/>
      <w:r w:rsidRPr="003807ED">
        <w:rPr>
          <w:rFonts w:ascii="Calibri" w:eastAsia="Times New Roman" w:hAnsi="Calibri" w:cs="Calibri"/>
          <w:color w:val="000000"/>
          <w:sz w:val="27"/>
          <w:szCs w:val="27"/>
          <w:lang w:eastAsia="pt-BR"/>
        </w:rPr>
        <w:t xml:space="preserve"> no período 01/07/2025 a 30/09/2025 no total de R$ 27.021.685,80 (vinte e sete milhões, vinte e um mil seiscentos e oitenta e cinco reais e oitenta centavos) com o objetivo de promover a transferência de recurso para consecução das ações do "Programa Pra Ter Onde Morar", instituído pela Lei nº 21.186, de 30 de novembro de 2021, para pessoas e famílias em vulnerabilidade socioeconômica, estudantes universitários da Universidade Estadual de Goiás e beneficiários do Programa Universitário do Bem – PROBEM, todos inscritos no Cadastro Único para Programas Sociais do Governo Federal - </w:t>
      </w:r>
      <w:proofErr w:type="spellStart"/>
      <w:r w:rsidRPr="003807ED">
        <w:rPr>
          <w:rFonts w:ascii="Calibri" w:eastAsia="Times New Roman" w:hAnsi="Calibri" w:cs="Calibri"/>
          <w:color w:val="000000"/>
          <w:sz w:val="27"/>
          <w:szCs w:val="27"/>
          <w:lang w:eastAsia="pt-BR"/>
        </w:rPr>
        <w:t>CadÚnico</w:t>
      </w:r>
      <w:proofErr w:type="spellEnd"/>
      <w:r w:rsidRPr="003807ED">
        <w:rPr>
          <w:rFonts w:ascii="Calibri" w:eastAsia="Times New Roman" w:hAnsi="Calibri" w:cs="Calibri"/>
          <w:color w:val="000000"/>
          <w:sz w:val="27"/>
          <w:szCs w:val="27"/>
          <w:lang w:eastAsia="pt-BR"/>
        </w:rPr>
        <w:t xml:space="preserve"> e que tenham atendido os critérios estabelecidos na referida Lei, com o objetivo de promoção do direito social à moradia digna por intermédio de transferência de renda direta para família, a fim de custear a locação de imóveis residenciais ou o pagamento da prestação da casa própria.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 Governo do Estado de Goiás - Acionista Majoritário, totalizando R$ 734.846.454,98 (setecentos e trinta e quatro milhões, oitocentos e quarenta e seis mil quatrocentos e cinquenta e quatro reais e noventa e oito centavos)</w:t>
      </w:r>
    </w:p>
    <w:tbl>
      <w:tblPr>
        <w:tblW w:w="13439" w:type="dxa"/>
        <w:tblInd w:w="12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648"/>
        <w:gridCol w:w="4833"/>
        <w:gridCol w:w="2958"/>
      </w:tblGrid>
      <w:tr w:rsidR="003807ED" w:rsidRPr="003807ED" w:rsidTr="008F4144">
        <w:trPr>
          <w:trHeight w:val="279"/>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b/>
                <w:bCs/>
                <w:color w:val="000000"/>
                <w:lang w:eastAsia="pt-BR"/>
              </w:rPr>
            </w:pPr>
            <w:r w:rsidRPr="003807ED">
              <w:rPr>
                <w:rFonts w:ascii="Calibri" w:eastAsia="Times New Roman" w:hAnsi="Calibri" w:cs="Calibri"/>
                <w:b/>
                <w:bCs/>
                <w:color w:val="000000"/>
                <w:lang w:eastAsia="pt-BR"/>
              </w:rPr>
              <w:t>Entidades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b/>
                <w:bCs/>
                <w:color w:val="000000"/>
                <w:lang w:eastAsia="pt-BR"/>
              </w:rPr>
            </w:pPr>
            <w:r w:rsidRPr="003807ED">
              <w:rPr>
                <w:rFonts w:ascii="Calibri" w:eastAsia="Times New Roman" w:hAnsi="Calibri" w:cs="Calibri"/>
                <w:b/>
                <w:bCs/>
                <w:color w:val="000000"/>
                <w:lang w:eastAsia="pt-BR"/>
              </w:rPr>
              <w:t>Natureza da Transação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b/>
                <w:bCs/>
                <w:color w:val="000000"/>
                <w:lang w:eastAsia="pt-BR"/>
              </w:rPr>
            </w:pPr>
            <w:r w:rsidRPr="003807ED">
              <w:rPr>
                <w:rFonts w:ascii="Calibri" w:eastAsia="Times New Roman" w:hAnsi="Calibri" w:cs="Calibri"/>
                <w:b/>
                <w:bCs/>
                <w:color w:val="000000"/>
                <w:lang w:eastAsia="pt-BR"/>
              </w:rPr>
              <w:t>VALOR </w:t>
            </w:r>
          </w:p>
        </w:tc>
      </w:tr>
      <w:tr w:rsidR="003807ED" w:rsidRPr="003807ED" w:rsidTr="008F4144">
        <w:trPr>
          <w:trHeight w:val="279"/>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2. Governo do Estado de Goiás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Acionista Majoritário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734.846.454,98</w:t>
            </w:r>
          </w:p>
        </w:tc>
      </w:tr>
      <w:tr w:rsidR="003807ED" w:rsidRPr="003807ED" w:rsidTr="008F4144">
        <w:trPr>
          <w:trHeight w:val="279"/>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2.1 Governo do Estado de Goiás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Subvenção Governamental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729.809.969,84</w:t>
            </w:r>
          </w:p>
        </w:tc>
      </w:tr>
      <w:tr w:rsidR="003807ED" w:rsidRPr="003807ED" w:rsidTr="008F4144">
        <w:trPr>
          <w:trHeight w:val="279"/>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2.2 Governo do Estado de Goiás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Prestação de Serviço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rPr>
                <w:rFonts w:ascii="Calibri" w:eastAsia="Times New Roman" w:hAnsi="Calibri" w:cs="Calibri"/>
                <w:color w:val="000000"/>
                <w:lang w:eastAsia="pt-BR"/>
              </w:rPr>
            </w:pPr>
            <w:r w:rsidRPr="003807ED">
              <w:rPr>
                <w:rFonts w:ascii="Calibri" w:eastAsia="Times New Roman" w:hAnsi="Calibri" w:cs="Calibri"/>
                <w:color w:val="000000"/>
                <w:lang w:eastAsia="pt-BR"/>
              </w:rPr>
              <w:t>5.036.485,14</w:t>
            </w:r>
          </w:p>
        </w:tc>
      </w:tr>
    </w:tbl>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2.1. Governo do Estado de Goiás – Subvenção Governamental.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a) O Governo do Estado de Goiás é acionista majoritário na AGEHAB, detém 196.043.399,42 (cento e noventa e seis milhões, quarenta e três mil trezentos e noventa e nove reais e quarenta e dois centavos) ações ordinárias nominativas que corresponde há 99,9540274% das ações, considerando a aquisição de 2.476 ações da empresa Saneamento de Goiás S/A em </w:t>
      </w:r>
      <w:proofErr w:type="gramStart"/>
      <w:r w:rsidRPr="003807ED">
        <w:rPr>
          <w:rFonts w:ascii="Calibri" w:eastAsia="Times New Roman" w:hAnsi="Calibri" w:cs="Calibri"/>
          <w:color w:val="000000"/>
          <w:sz w:val="27"/>
          <w:szCs w:val="27"/>
          <w:lang w:eastAsia="pt-BR"/>
        </w:rPr>
        <w:t>Agosto</w:t>
      </w:r>
      <w:proofErr w:type="gramEnd"/>
      <w:r w:rsidRPr="003807ED">
        <w:rPr>
          <w:rFonts w:ascii="Calibri" w:eastAsia="Times New Roman" w:hAnsi="Calibri" w:cs="Calibri"/>
          <w:color w:val="000000"/>
          <w:sz w:val="27"/>
          <w:szCs w:val="27"/>
          <w:lang w:eastAsia="pt-BR"/>
        </w:rPr>
        <w:t xml:space="preserve"> de 2025, processo 202200031000687.</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b) E a partir de 2021, a AGEHAB enquadrada como empresa estatal dependente do Estado de Goiás e subvencionada pelo Governo do Estado de Goiás, recebendo recursos financeiros para custeio das atividades incluindo despesa com pessoal e manutenções em geral e responsável por desenvolver os programas habitacionais do Estado de Goiás, conforme previsão estatuária.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c) Em </w:t>
      </w:r>
      <w:proofErr w:type="gramStart"/>
      <w:r w:rsidRPr="003807ED">
        <w:rPr>
          <w:rFonts w:ascii="Calibri" w:eastAsia="Times New Roman" w:hAnsi="Calibri" w:cs="Calibri"/>
          <w:color w:val="000000"/>
          <w:sz w:val="27"/>
          <w:szCs w:val="27"/>
          <w:lang w:eastAsia="pt-BR"/>
        </w:rPr>
        <w:t>2025,  às</w:t>
      </w:r>
      <w:proofErr w:type="gramEnd"/>
      <w:r w:rsidRPr="003807ED">
        <w:rPr>
          <w:rFonts w:ascii="Calibri" w:eastAsia="Times New Roman" w:hAnsi="Calibri" w:cs="Calibri"/>
          <w:color w:val="000000"/>
          <w:sz w:val="27"/>
          <w:szCs w:val="27"/>
          <w:lang w:eastAsia="pt-BR"/>
        </w:rPr>
        <w:t xml:space="preserve"> transferências financeiras de recursos estaduais totalizaram R$ 642.018.075,74 (seiscentos e quarenta e dois milhões, dezoito mil e setenta e cinco reais e setenta e quatro centavos) refere-se aos valores transferidos do Tesouro do Estado de Goiás através da Lei Orçamentária Anual de 2025 e de Restos a Pagar de Exercícios Anteriores, incluindo valores referente Subvenção para Custeio e Subvenção para Investimento para custear os Programas Habitacionais de Interesse Social.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2.2. Governo do Estado de Goiás - Prestação de Serviços.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a) Por meio do contrato nº 006/2023 e primeiro termo aditivo documento (</w:t>
      </w:r>
      <w:hyperlink r:id="rId48" w:tgtFrame="_blank" w:history="1">
        <w:r w:rsidRPr="003807ED">
          <w:rPr>
            <w:rFonts w:ascii="Calibri" w:eastAsia="Times New Roman" w:hAnsi="Calibri" w:cs="Calibri"/>
            <w:color w:val="0000FF"/>
            <w:sz w:val="27"/>
            <w:szCs w:val="27"/>
            <w:u w:val="single"/>
            <w:lang w:eastAsia="pt-BR"/>
          </w:rPr>
          <w:t>70408596</w:t>
        </w:r>
      </w:hyperlink>
      <w:r w:rsidRPr="003807ED">
        <w:rPr>
          <w:rFonts w:ascii="Calibri" w:eastAsia="Times New Roman" w:hAnsi="Calibri" w:cs="Calibri"/>
          <w:color w:val="000000"/>
          <w:sz w:val="27"/>
          <w:szCs w:val="27"/>
          <w:lang w:eastAsia="pt-BR"/>
        </w:rPr>
        <w:t>), processo 202400004105429 referente Prestação de Serviço para administrar a Carteira Habitacional Imobiliária do Estado de Goiás, totalizou o faturamento de R$ 5.036.485,14 (cinco milhões, trinta e seis mil quatrocentos e oitenta e cinco reais e quatorze centavos), no Exercício Social de 2025.</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w:t>
      </w:r>
    </w:p>
    <w:p w:rsidR="003807ED" w:rsidRPr="003807ED" w:rsidRDefault="003807ED" w:rsidP="003807ED">
      <w:pPr>
        <w:spacing w:before="100" w:beforeAutospacing="1" w:after="100" w:afterAutospacing="1" w:line="240" w:lineRule="auto"/>
        <w:jc w:val="both"/>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                                                                                                                                                                                             28. REMUNERAÇÃO DOS ADMINISTRADORES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28.1. Conforme Resolução nº 001/2024 de 09 de </w:t>
      </w:r>
      <w:proofErr w:type="gramStart"/>
      <w:r w:rsidRPr="003807ED">
        <w:rPr>
          <w:rFonts w:ascii="Calibri" w:eastAsia="Times New Roman" w:hAnsi="Calibri" w:cs="Calibri"/>
          <w:color w:val="000000"/>
          <w:sz w:val="27"/>
          <w:szCs w:val="27"/>
          <w:lang w:eastAsia="pt-BR"/>
        </w:rPr>
        <w:t>Dezembro</w:t>
      </w:r>
      <w:proofErr w:type="gramEnd"/>
      <w:r w:rsidRPr="003807ED">
        <w:rPr>
          <w:rFonts w:ascii="Calibri" w:eastAsia="Times New Roman" w:hAnsi="Calibri" w:cs="Calibri"/>
          <w:color w:val="000000"/>
          <w:sz w:val="27"/>
          <w:szCs w:val="27"/>
          <w:lang w:eastAsia="pt-BR"/>
        </w:rPr>
        <w:t xml:space="preserve"> de 2024, integram a Diretoria Executiva como Órgão de Governança de Administração desta Companhia, conforme preconiza o art. 24 do Estatuto desta Companhia: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I – Diretoria-Presidência; / II – Diretoria Vice-Presidência;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III – Diretoria Financeira;/ IV – Diretoria Administrativa;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V – Diretoria de Engenharia e Obras; /VI – Diretoria de Regularização Fundiária e Desenvolvimento Social; e VII – Diretoria de Governança e </w:t>
      </w:r>
      <w:proofErr w:type="spellStart"/>
      <w:r w:rsidRPr="003807ED">
        <w:rPr>
          <w:rFonts w:ascii="Calibri" w:eastAsia="Times New Roman" w:hAnsi="Calibri" w:cs="Calibri"/>
          <w:color w:val="000000"/>
          <w:sz w:val="27"/>
          <w:szCs w:val="27"/>
          <w:lang w:eastAsia="pt-BR"/>
        </w:rPr>
        <w:t>Compliance</w:t>
      </w:r>
      <w:proofErr w:type="spellEnd"/>
      <w:r w:rsidRPr="003807ED">
        <w:rPr>
          <w:rFonts w:ascii="Calibri" w:eastAsia="Times New Roman" w:hAnsi="Calibri" w:cs="Calibri"/>
          <w:color w:val="000000"/>
          <w:sz w:val="27"/>
          <w:szCs w:val="27"/>
          <w:lang w:eastAsia="pt-BR"/>
        </w:rPr>
        <w:t>.</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28.2. A Diretoria Executiva é um órgão executivo colegiado, com poderes para exercer a administração da AGEHAB, eleita pelo Conselho de Administração, todos com prazo de mandato que serão unificados e não superiores a 2 (dois) anos, permitidas, no máximo, 3 (três) reconduções consecutivas. A Diretoria Executiva da AGEHAB é composta por no mínimo três e no máximo sete diretores, incluindo o Diretor-Presidente e Vice-Presidente, conforme artigo 24 do Estatuto Social.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28.3. Os honorários da Diretoria Executiva serão fixados pela Assembleia Geral dos Acionistas. Os honorários dos diretores poderão atingir até 95% (noventa e cinco por cento) do que for fixado para o presidente, conforme artigo 33 do Estatuto Social.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28.4. Conforme Ata nº 127 Assembleia Geral Extraordinária de 23 de julho de 2024</w:t>
      </w:r>
      <w:r w:rsidRPr="003807ED">
        <w:rPr>
          <w:rFonts w:ascii="Calibri" w:eastAsia="Times New Roman" w:hAnsi="Calibri" w:cs="Calibri"/>
          <w:color w:val="5B9BD5"/>
          <w:sz w:val="27"/>
          <w:szCs w:val="27"/>
          <w:lang w:eastAsia="pt-BR"/>
        </w:rPr>
        <w:t>, </w:t>
      </w:r>
      <w:r w:rsidRPr="003807ED">
        <w:rPr>
          <w:rFonts w:ascii="Calibri" w:eastAsia="Times New Roman" w:hAnsi="Calibri" w:cs="Calibri"/>
          <w:color w:val="000000"/>
          <w:sz w:val="27"/>
          <w:szCs w:val="27"/>
          <w:lang w:eastAsia="pt-BR"/>
        </w:rPr>
        <w:t>nos termos da alínea “h”, §3º, do art. 12 e art. 34, caput e §1º do Estatuto Social, a aplicação da tabela de salários aos diretores, bem como os seus reflexos em relação aos conselheiros de administração, conselheiros fiscais e membros do Comitê de Auditoria Estatutário, passando a remuneração destes aos seguintes valores: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28.5. Diretor Presidente de R$ 36.299,56 (trinta e seis mil duzentos e noventa e nove reais e cinquenta e seis centavos); Diretoria Executiva de R$ 32.306,62 (trinta e dois mil trezentos e seis reais e sessenta e dois centavos),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28.6. Conselheiros de Administração e Fiscais e Membros do Comitê de Auditoria Estatutário de R$ 6.461,32 (seis mil quatrocentos e sessenta e um reais e trinta e dois centavos), haja vista que, deliberado pela 119ª Assembleia Geral Extraordinária, a remuneração destes últimos corresponde a 20% da que, em média, for atribuída a cada diretor, não computados benefícios, verbas de representação e participação nos lucros, nos termos do §2º do Art. 162 da Lei 6.404/1976.</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28.7. O Conselho de Administração, órgão de deliberação colegiada da AGEHAB, será composto por no mínimo 7 (sete) e no máximo 11 (onze) membros, todos com mandato unificado de 2 (dois) anos a contar da data da eleição, permitida, no máximo, 3 (três) reconduções consecutivas, conforme artigo 13 do Estatuto Social.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28.8. O Conselho Fiscal é órgão fiscalizador da administração e funcionará em caráter permanente e com atribuições fixadas em lei, sendo composto por no mínimo, 3 (três) e, no máximo, 5 (cinco) membros efetivos, com igual número de suplentes, eleitos pela Assembleia Geral e o prazo de atuação será unificado e não superior a 2 (dois) anos, permitidas, no máximo, 2 (duas) reconduções consecutivas, conforme artigo 20 do Estatuto Social.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28.9. O Comitê de Auditoria Estatutário será composto por, no mínimo, 3 (três) e, no máximo, 5 (cinco) membros, em sua maioria independentes, eleitos e destituíveis a qualquer tempo pelo Conselho de Administração pelo período de 2 (dois) anos, permitida uma reeleição. A remuneração dos membros do Comitê de Auditoria é fixada pela Assembleia Geral em montante não inferior à remuneração dos conselheiros fiscais, conforme artigo 35 do Estatuto Social.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tbl>
      <w:tblPr>
        <w:tblW w:w="8057"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991"/>
        <w:gridCol w:w="2066"/>
      </w:tblGrid>
      <w:tr w:rsidR="003807ED" w:rsidRPr="003807ED" w:rsidTr="003807ED">
        <w:trPr>
          <w:trHeight w:val="300"/>
          <w:tblHeader/>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b/>
                <w:bCs/>
                <w:color w:val="000000"/>
                <w:lang w:eastAsia="pt-BR"/>
              </w:rPr>
            </w:pPr>
            <w:r w:rsidRPr="003807ED">
              <w:rPr>
                <w:rFonts w:ascii="Calibri" w:eastAsia="Times New Roman" w:hAnsi="Calibri" w:cs="Calibri"/>
                <w:b/>
                <w:bCs/>
                <w:color w:val="000000"/>
                <w:lang w:eastAsia="pt-BR"/>
              </w:rPr>
              <w:t>REMUNERAÇÃO BRUTA DE 01/01/2025 a 31/12/2025</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lang w:eastAsia="pt-BR"/>
              </w:rPr>
            </w:pPr>
            <w:r w:rsidRPr="003807ED">
              <w:rPr>
                <w:rFonts w:ascii="Calibri" w:eastAsia="Times New Roman" w:hAnsi="Calibri" w:cs="Calibri"/>
                <w:color w:val="000000"/>
                <w:lang w:eastAsia="pt-BR"/>
              </w:rPr>
              <w:t>Diretoria Executiva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lang w:eastAsia="pt-BR"/>
              </w:rPr>
            </w:pPr>
            <w:r w:rsidRPr="003807ED">
              <w:rPr>
                <w:rFonts w:ascii="Calibri" w:eastAsia="Times New Roman" w:hAnsi="Calibri" w:cs="Calibri"/>
                <w:color w:val="000000"/>
                <w:lang w:eastAsia="pt-BR"/>
              </w:rPr>
              <w:t>4.315.164,10</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lang w:eastAsia="pt-BR"/>
              </w:rPr>
            </w:pPr>
            <w:r w:rsidRPr="003807ED">
              <w:rPr>
                <w:rFonts w:ascii="Calibri" w:eastAsia="Times New Roman" w:hAnsi="Calibri" w:cs="Calibri"/>
                <w:color w:val="000000"/>
                <w:lang w:eastAsia="pt-BR"/>
              </w:rPr>
              <w:t>Conselho de Administração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lang w:eastAsia="pt-BR"/>
              </w:rPr>
            </w:pPr>
            <w:r w:rsidRPr="003807ED">
              <w:rPr>
                <w:rFonts w:ascii="Calibri" w:eastAsia="Times New Roman" w:hAnsi="Calibri" w:cs="Calibri"/>
                <w:color w:val="000000"/>
                <w:lang w:eastAsia="pt-BR"/>
              </w:rPr>
              <w:t>816.193,66</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lang w:eastAsia="pt-BR"/>
              </w:rPr>
            </w:pPr>
            <w:r w:rsidRPr="003807ED">
              <w:rPr>
                <w:rFonts w:ascii="Calibri" w:eastAsia="Times New Roman" w:hAnsi="Calibri" w:cs="Calibri"/>
                <w:color w:val="000000"/>
                <w:lang w:eastAsia="pt-BR"/>
              </w:rPr>
              <w:t>Conselho Fiscal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lang w:eastAsia="pt-BR"/>
              </w:rPr>
            </w:pPr>
            <w:r w:rsidRPr="003807ED">
              <w:rPr>
                <w:rFonts w:ascii="Calibri" w:eastAsia="Times New Roman" w:hAnsi="Calibri" w:cs="Calibri"/>
                <w:color w:val="000000"/>
                <w:lang w:eastAsia="pt-BR"/>
              </w:rPr>
              <w:t>265.430,89</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lang w:eastAsia="pt-BR"/>
              </w:rPr>
            </w:pPr>
            <w:r w:rsidRPr="003807ED">
              <w:rPr>
                <w:rFonts w:ascii="Calibri" w:eastAsia="Times New Roman" w:hAnsi="Calibri" w:cs="Calibri"/>
                <w:color w:val="000000"/>
                <w:lang w:eastAsia="pt-BR"/>
              </w:rPr>
              <w:t>Comitê de Auditoria Estatutário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lang w:eastAsia="pt-BR"/>
              </w:rPr>
            </w:pPr>
            <w:r w:rsidRPr="003807ED">
              <w:rPr>
                <w:rFonts w:ascii="Calibri" w:eastAsia="Times New Roman" w:hAnsi="Calibri" w:cs="Calibri"/>
                <w:color w:val="000000"/>
                <w:lang w:eastAsia="pt-BR"/>
              </w:rPr>
              <w:t>356.664,68</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lang w:eastAsia="pt-BR"/>
              </w:rPr>
            </w:pPr>
            <w:r w:rsidRPr="003807ED">
              <w:rPr>
                <w:rFonts w:ascii="Calibri" w:eastAsia="Times New Roman" w:hAnsi="Calibri" w:cs="Calibri"/>
                <w:color w:val="000000"/>
                <w:lang w:eastAsia="pt-BR"/>
              </w:rPr>
              <w:t>Comitê de Pessoas, Elegibilidade, Sucessão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lang w:eastAsia="pt-BR"/>
              </w:rPr>
            </w:pPr>
            <w:r w:rsidRPr="003807ED">
              <w:rPr>
                <w:rFonts w:ascii="Calibri" w:eastAsia="Times New Roman" w:hAnsi="Calibri" w:cs="Calibri"/>
                <w:color w:val="000000"/>
                <w:lang w:eastAsia="pt-BR"/>
              </w:rPr>
              <w:t>18.608,58</w:t>
            </w:r>
          </w:p>
        </w:tc>
      </w:tr>
      <w:tr w:rsidR="003807ED" w:rsidRPr="003807ED" w:rsidTr="003807ED">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lang w:eastAsia="pt-BR"/>
              </w:rPr>
            </w:pPr>
            <w:r w:rsidRPr="003807ED">
              <w:rPr>
                <w:rFonts w:ascii="Calibri" w:eastAsia="Times New Roman" w:hAnsi="Calibri" w:cs="Calibri"/>
                <w:b/>
                <w:bCs/>
                <w:color w:val="000000"/>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3807ED" w:rsidRPr="003807ED" w:rsidRDefault="003807ED" w:rsidP="003807ED">
            <w:pPr>
              <w:spacing w:after="0" w:line="240" w:lineRule="auto"/>
              <w:ind w:left="60" w:right="60"/>
              <w:jc w:val="center"/>
              <w:rPr>
                <w:rFonts w:ascii="Calibri" w:eastAsia="Times New Roman" w:hAnsi="Calibri" w:cs="Calibri"/>
                <w:color w:val="000000"/>
                <w:lang w:eastAsia="pt-BR"/>
              </w:rPr>
            </w:pPr>
            <w:r w:rsidRPr="003807ED">
              <w:rPr>
                <w:rFonts w:ascii="Calibri" w:eastAsia="Times New Roman" w:hAnsi="Calibri" w:cs="Calibri"/>
                <w:b/>
                <w:bCs/>
                <w:color w:val="000000"/>
                <w:lang w:eastAsia="pt-BR"/>
              </w:rPr>
              <w:t>5.772.061,91</w:t>
            </w:r>
          </w:p>
        </w:tc>
      </w:tr>
    </w:tbl>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DESPACHO Nº 465/2026/AGEHAB/GAGP-20040 (</w:t>
      </w:r>
      <w:hyperlink r:id="rId49" w:tgtFrame="_blank" w:history="1">
        <w:r w:rsidRPr="003807ED">
          <w:rPr>
            <w:rFonts w:ascii="Calibri" w:eastAsia="Times New Roman" w:hAnsi="Calibri" w:cs="Calibri"/>
            <w:color w:val="0000FF"/>
            <w:sz w:val="27"/>
            <w:szCs w:val="27"/>
            <w:u w:val="single"/>
            <w:lang w:eastAsia="pt-BR"/>
          </w:rPr>
          <w:t>85698812</w:t>
        </w:r>
      </w:hyperlink>
      <w:r w:rsidRPr="003807ED">
        <w:rPr>
          <w:rFonts w:ascii="Calibri" w:eastAsia="Times New Roman" w:hAnsi="Calibri" w:cs="Calibri"/>
          <w:color w:val="000000"/>
          <w:sz w:val="27"/>
          <w:szCs w:val="27"/>
          <w:lang w:eastAsia="pt-BR"/>
        </w:rPr>
        <w:t>)</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6"/>
          <w:szCs w:val="26"/>
          <w:lang w:eastAsia="pt-BR"/>
        </w:rPr>
        <w:t>29. EVENTOS SUBSEQUENTES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29.1. Evento Subsequente Relevante – Determinação Judicial com Impacto Operacional</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29.1. Em conformidade com as práticas contábeis adotadas no Brasil, especialmente aquelas relacionadas a eventos subsequentes à data-base das Demonstrações Financeiras, nos termos do </w:t>
      </w:r>
      <w:r w:rsidRPr="003807ED">
        <w:rPr>
          <w:rFonts w:ascii="Calibri" w:eastAsia="Times New Roman" w:hAnsi="Calibri" w:cs="Calibri"/>
          <w:b/>
          <w:bCs/>
          <w:color w:val="000000"/>
          <w:sz w:val="27"/>
          <w:szCs w:val="27"/>
          <w:lang w:eastAsia="pt-BR"/>
        </w:rPr>
        <w:t>CPC 24 / NBC TG 24</w:t>
      </w:r>
      <w:r w:rsidRPr="003807ED">
        <w:rPr>
          <w:rFonts w:ascii="Calibri" w:eastAsia="Times New Roman" w:hAnsi="Calibri" w:cs="Calibri"/>
          <w:color w:val="000000"/>
          <w:sz w:val="27"/>
          <w:szCs w:val="27"/>
          <w:lang w:eastAsia="pt-BR"/>
        </w:rPr>
        <w:t>, a Agência Goiana de Habitação S/A – AGEHAB informa que:</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29.2. Após a conclusão do processo regular de elaboração e aprovação interna das Demonstrações Financeiras do exercício findo em 31 de dezembro de 2025, incluindo sua submissão à Diretoria Executiva em 06 de março de 2026 (Deliberação nº 39/2026 – AGEHAB)(</w:t>
      </w:r>
      <w:hyperlink r:id="rId50" w:tgtFrame="_blank" w:history="1">
        <w:r w:rsidRPr="003807ED">
          <w:rPr>
            <w:rFonts w:ascii="Calibri" w:eastAsia="Times New Roman" w:hAnsi="Calibri" w:cs="Calibri"/>
            <w:color w:val="0000FF"/>
            <w:sz w:val="27"/>
            <w:szCs w:val="27"/>
            <w:u w:val="single"/>
            <w:lang w:eastAsia="pt-BR"/>
          </w:rPr>
          <w:t>87235454</w:t>
        </w:r>
      </w:hyperlink>
      <w:r w:rsidRPr="003807ED">
        <w:rPr>
          <w:rFonts w:ascii="Calibri" w:eastAsia="Times New Roman" w:hAnsi="Calibri" w:cs="Calibri"/>
          <w:color w:val="000000"/>
          <w:sz w:val="27"/>
          <w:szCs w:val="27"/>
          <w:lang w:eastAsia="pt-BR"/>
        </w:rPr>
        <w:t>) e apreciação pelo Comitê de Auditoria Estatutário em 13 de março de 2026 (</w:t>
      </w:r>
      <w:hyperlink r:id="rId51" w:tgtFrame="_blank" w:history="1">
        <w:r w:rsidRPr="003807ED">
          <w:rPr>
            <w:rFonts w:ascii="Calibri" w:eastAsia="Times New Roman" w:hAnsi="Calibri" w:cs="Calibri"/>
            <w:color w:val="0000FF"/>
            <w:sz w:val="27"/>
            <w:szCs w:val="27"/>
            <w:u w:val="single"/>
            <w:lang w:eastAsia="pt-BR"/>
          </w:rPr>
          <w:t>87957668</w:t>
        </w:r>
      </w:hyperlink>
      <w:r w:rsidRPr="003807ED">
        <w:rPr>
          <w:rFonts w:ascii="Calibri" w:eastAsia="Times New Roman" w:hAnsi="Calibri" w:cs="Calibri"/>
          <w:color w:val="000000"/>
          <w:sz w:val="27"/>
          <w:szCs w:val="27"/>
          <w:lang w:eastAsia="pt-BR"/>
        </w:rPr>
        <w:t>) , a Companhia tomou conhecimento de decisão judicial com força de mandado/ofício, proferida nos autos do Processo nº 5194765-90.2026.8.09.0051, em trâmite perante a 5ª Vara da Fazenda Pública Estadual, sob segredo de justiça.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29.3. A referida decisão determinou o afastamento cautelar do Vice-Presidente e do Superintendente de Projetos e Orçamentos. Em decorrência, a Companhia procedeu à destituição do primeiro e à demissão do segundo, no contexto de apuração relacionada à suposta irregularidade envolvendo empresa construtora em procedimento de contratação por meio de chamamento público para credenciamento, situação que, em tese, poderia ter ensejado a obtenção de vantagem econômica indevida.</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xml:space="preserve">29.4. A </w:t>
      </w:r>
      <w:proofErr w:type="gramStart"/>
      <w:r w:rsidRPr="003807ED">
        <w:rPr>
          <w:rFonts w:ascii="Calibri" w:eastAsia="Times New Roman" w:hAnsi="Calibri" w:cs="Calibri"/>
          <w:color w:val="000000"/>
          <w:sz w:val="27"/>
          <w:szCs w:val="27"/>
          <w:lang w:eastAsia="pt-BR"/>
        </w:rPr>
        <w:t>AGEHAB  -</w:t>
      </w:r>
      <w:proofErr w:type="gramEnd"/>
      <w:r w:rsidRPr="003807ED">
        <w:rPr>
          <w:rFonts w:ascii="Calibri" w:eastAsia="Times New Roman" w:hAnsi="Calibri" w:cs="Calibri"/>
          <w:color w:val="000000"/>
          <w:sz w:val="27"/>
          <w:szCs w:val="27"/>
          <w:lang w:eastAsia="pt-BR"/>
        </w:rPr>
        <w:t xml:space="preserve"> AGÊNCIA GOIANA DE HABITAÇÃO S/A - AGEHAB, esclarece que:</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(i) o evento é posterior à data-base das Demonstrações Financeiras e, até o momento, não foram identificados elementos que indiquem a necessidade de ajustes nos saldos contábeis encerrados em 31 de dezembro de 2025, sendo classificado como evento subsequente que não origina ajuste, conforme previsto nas normas contábeis aplicáveis;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w:t>
      </w:r>
      <w:proofErr w:type="spellStart"/>
      <w:r w:rsidRPr="003807ED">
        <w:rPr>
          <w:rFonts w:ascii="Calibri" w:eastAsia="Times New Roman" w:hAnsi="Calibri" w:cs="Calibri"/>
          <w:color w:val="000000"/>
          <w:sz w:val="27"/>
          <w:szCs w:val="27"/>
          <w:lang w:eastAsia="pt-BR"/>
        </w:rPr>
        <w:t>ii</w:t>
      </w:r>
      <w:proofErr w:type="spellEnd"/>
      <w:r w:rsidRPr="003807ED">
        <w:rPr>
          <w:rFonts w:ascii="Calibri" w:eastAsia="Times New Roman" w:hAnsi="Calibri" w:cs="Calibri"/>
          <w:color w:val="000000"/>
          <w:sz w:val="27"/>
          <w:szCs w:val="27"/>
          <w:lang w:eastAsia="pt-BR"/>
        </w:rPr>
        <w:t>) estão sendo adotadas todas as medidas administrativas, jurídicas e de governança necessárias ao cumprimento da decisão judicial, bem como à apuração dos fatos no âmbito interno;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w:t>
      </w:r>
      <w:proofErr w:type="spellStart"/>
      <w:r w:rsidRPr="003807ED">
        <w:rPr>
          <w:rFonts w:ascii="Calibri" w:eastAsia="Times New Roman" w:hAnsi="Calibri" w:cs="Calibri"/>
          <w:color w:val="000000"/>
          <w:sz w:val="27"/>
          <w:szCs w:val="27"/>
          <w:lang w:eastAsia="pt-BR"/>
        </w:rPr>
        <w:t>iii</w:t>
      </w:r>
      <w:proofErr w:type="spellEnd"/>
      <w:r w:rsidRPr="003807ED">
        <w:rPr>
          <w:rFonts w:ascii="Calibri" w:eastAsia="Times New Roman" w:hAnsi="Calibri" w:cs="Calibri"/>
          <w:color w:val="000000"/>
          <w:sz w:val="27"/>
          <w:szCs w:val="27"/>
          <w:lang w:eastAsia="pt-BR"/>
        </w:rPr>
        <w:t>) até a presente data, não é possível mensurar, com grau razoável de segurança, eventuais impactos econômico-financeiros decorrentes do referido evento; e</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w:t>
      </w:r>
      <w:proofErr w:type="spellStart"/>
      <w:r w:rsidRPr="003807ED">
        <w:rPr>
          <w:rFonts w:ascii="Calibri" w:eastAsia="Times New Roman" w:hAnsi="Calibri" w:cs="Calibri"/>
          <w:color w:val="000000"/>
          <w:sz w:val="27"/>
          <w:szCs w:val="27"/>
          <w:lang w:eastAsia="pt-BR"/>
        </w:rPr>
        <w:t>iv</w:t>
      </w:r>
      <w:proofErr w:type="spellEnd"/>
      <w:r w:rsidRPr="003807ED">
        <w:rPr>
          <w:rFonts w:ascii="Calibri" w:eastAsia="Times New Roman" w:hAnsi="Calibri" w:cs="Calibri"/>
          <w:color w:val="000000"/>
          <w:sz w:val="27"/>
          <w:szCs w:val="27"/>
          <w:lang w:eastAsia="pt-BR"/>
        </w:rPr>
        <w:t>) a Companhia mantém monitoramento contínuo da situação, comprometendo-se a reconhecer e/ou divulgar tempestivamente quaisquer efeitos relevantes nas demonstrações contábeis de exercícios subsequentes, caso venham a ser identificados.</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29.5. Por fim, ressalta-se que as Demonstrações Financeiras do exercício de 2025 foram elaboradas com base no pressuposto da continuidade operacional, o qual, até o presente momento, não se encontra comprometido em decorrência do evento ora descrito.</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00" w:beforeAutospacing="1" w:after="100" w:afterAutospacing="1" w:line="240" w:lineRule="auto"/>
        <w:jc w:val="center"/>
        <w:rPr>
          <w:rFonts w:ascii="Calibri" w:eastAsia="Times New Roman" w:hAnsi="Calibri" w:cs="Calibri"/>
          <w:b/>
          <w:bCs/>
          <w:caps/>
          <w:color w:val="000000"/>
          <w:sz w:val="26"/>
          <w:szCs w:val="26"/>
          <w:lang w:eastAsia="pt-BR"/>
        </w:rPr>
      </w:pPr>
      <w:r w:rsidRPr="003807ED">
        <w:rPr>
          <w:rFonts w:ascii="Calibri" w:eastAsia="Times New Roman" w:hAnsi="Calibri" w:cs="Calibri"/>
          <w:b/>
          <w:bCs/>
          <w:caps/>
          <w:color w:val="000000"/>
          <w:sz w:val="24"/>
          <w:szCs w:val="24"/>
          <w:lang w:eastAsia="pt-BR"/>
        </w:rPr>
        <w:t xml:space="preserve">Goiânia - Goiás, 31 de </w:t>
      </w:r>
      <w:proofErr w:type="gramStart"/>
      <w:r w:rsidRPr="003807ED">
        <w:rPr>
          <w:rFonts w:ascii="Calibri" w:eastAsia="Times New Roman" w:hAnsi="Calibri" w:cs="Calibri"/>
          <w:b/>
          <w:bCs/>
          <w:caps/>
          <w:color w:val="000000"/>
          <w:sz w:val="24"/>
          <w:szCs w:val="24"/>
          <w:lang w:eastAsia="pt-BR"/>
        </w:rPr>
        <w:t>Dezembro</w:t>
      </w:r>
      <w:proofErr w:type="gramEnd"/>
      <w:r w:rsidRPr="003807ED">
        <w:rPr>
          <w:rFonts w:ascii="Calibri" w:eastAsia="Times New Roman" w:hAnsi="Calibri" w:cs="Calibri"/>
          <w:b/>
          <w:bCs/>
          <w:caps/>
          <w:color w:val="000000"/>
          <w:sz w:val="24"/>
          <w:szCs w:val="24"/>
          <w:lang w:eastAsia="pt-BR"/>
        </w:rPr>
        <w:t xml:space="preserve"> de 2025</w:t>
      </w:r>
    </w:p>
    <w:p w:rsidR="003807ED" w:rsidRPr="003807ED" w:rsidRDefault="003807ED" w:rsidP="003807ED">
      <w:pPr>
        <w:spacing w:after="0" w:line="240" w:lineRule="auto"/>
        <w:ind w:left="60" w:right="60"/>
        <w:jc w:val="center"/>
        <w:rPr>
          <w:rFonts w:ascii="Calibri" w:eastAsia="Times New Roman" w:hAnsi="Calibri" w:cs="Calibri"/>
          <w:color w:val="000000"/>
          <w:lang w:eastAsia="pt-BR"/>
        </w:rPr>
      </w:pPr>
      <w:r w:rsidRPr="003807ED">
        <w:rPr>
          <w:rFonts w:ascii="Calibri" w:eastAsia="Times New Roman" w:hAnsi="Calibri" w:cs="Calibri"/>
          <w:color w:val="000000"/>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KAMILLA GUIMARÃES RODRIGUES</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CPF: 913.946.431-87</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Contadora CRC GO 017564/O-8</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YURI BEN HUR DA ROCHA TEJOTA</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CPF: 037.362.181-76</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 xml:space="preserve">Diretor de Governança e </w:t>
      </w:r>
      <w:proofErr w:type="spellStart"/>
      <w:r w:rsidRPr="003807ED">
        <w:rPr>
          <w:rFonts w:ascii="Calibri" w:eastAsia="Times New Roman" w:hAnsi="Calibri" w:cs="Calibri"/>
          <w:b/>
          <w:bCs/>
          <w:color w:val="000000"/>
          <w:sz w:val="27"/>
          <w:szCs w:val="27"/>
          <w:lang w:eastAsia="pt-BR"/>
        </w:rPr>
        <w:t>Compliance</w:t>
      </w:r>
      <w:proofErr w:type="spellEnd"/>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RICARDO FERNANDES BARBOSA</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CPF: 402.611.268-30</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Diretor de Regularização Fundiária e Desenvolvimento Social</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VINICIUS FERREIRA LIMA</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CPF: 932.902.921-34</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Diretor Administrativo</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SIRLEI APARECIDA DA GUIA</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CPF: 348.640.831-34</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Diretora de Engenharia e Obras</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ADAILTON FERREIRA TRINDADE</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CPF: 317.250.151-53</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Diretor Financeiro</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b/>
          <w:bCs/>
          <w:color w:val="000000"/>
          <w:sz w:val="27"/>
          <w:szCs w:val="27"/>
          <w:lang w:eastAsia="pt-BR"/>
        </w:rPr>
        <w:t>Diretor-Presidente em Substituição - Art. 28, § 2º Estatuto Social AGEHAB</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jc w:val="center"/>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 </w:t>
      </w:r>
    </w:p>
    <w:p w:rsidR="003807ED" w:rsidRPr="003807ED" w:rsidRDefault="003807ED" w:rsidP="003807ED">
      <w:pPr>
        <w:spacing w:before="120" w:after="120" w:line="240" w:lineRule="auto"/>
        <w:ind w:left="120" w:right="120" w:firstLine="1699"/>
        <w:jc w:val="both"/>
        <w:rPr>
          <w:rFonts w:ascii="Calibri" w:eastAsia="Times New Roman" w:hAnsi="Calibri" w:cs="Calibri"/>
          <w:color w:val="000000"/>
          <w:sz w:val="27"/>
          <w:szCs w:val="27"/>
          <w:lang w:eastAsia="pt-BR"/>
        </w:rPr>
      </w:pPr>
      <w:r w:rsidRPr="003807ED">
        <w:rPr>
          <w:rFonts w:ascii="Calibri" w:eastAsia="Times New Roman" w:hAnsi="Calibri" w:cs="Calibri"/>
          <w:color w:val="000000"/>
          <w:sz w:val="27"/>
          <w:szCs w:val="27"/>
          <w:lang w:eastAsia="pt-BR"/>
        </w:rPr>
        <w:t>NÚCLEO DE CONTABILIDADE em GOIANIA - GO, aos 14 dias do mês de abril de 2026.</w:t>
      </w:r>
    </w:p>
    <w:sectPr w:rsidR="003807ED" w:rsidRPr="003807ED" w:rsidSect="00691604">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7ED"/>
    <w:rsid w:val="00150E85"/>
    <w:rsid w:val="003807ED"/>
    <w:rsid w:val="003F360B"/>
    <w:rsid w:val="0059450D"/>
    <w:rsid w:val="00691604"/>
    <w:rsid w:val="008F414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68DF8"/>
  <w15:chartTrackingRefBased/>
  <w15:docId w15:val="{B1728533-47F0-488A-B869-DD2F0FBB3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msonormal0">
    <w:name w:val="msonormal"/>
    <w:basedOn w:val="Normal"/>
    <w:rsid w:val="003807E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centralizadomaiusculas">
    <w:name w:val="texto_centralizado_maiusculas"/>
    <w:basedOn w:val="Normal"/>
    <w:rsid w:val="003807E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3807ED"/>
    <w:rPr>
      <w:b/>
      <w:bCs/>
    </w:rPr>
  </w:style>
  <w:style w:type="paragraph" w:customStyle="1" w:styleId="textojustificadoesp15">
    <w:name w:val="texto_justificado_esp15"/>
    <w:basedOn w:val="Normal"/>
    <w:rsid w:val="003807E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alinhadoesquerda">
    <w:name w:val="texto_alinhado_esquerda"/>
    <w:basedOn w:val="Normal"/>
    <w:rsid w:val="003807E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3807ED"/>
    <w:rPr>
      <w:color w:val="0000FF"/>
      <w:u w:val="single"/>
    </w:rPr>
  </w:style>
  <w:style w:type="character" w:styleId="HiperlinkVisitado">
    <w:name w:val="FollowedHyperlink"/>
    <w:basedOn w:val="Fontepargpadro"/>
    <w:uiPriority w:val="99"/>
    <w:semiHidden/>
    <w:unhideWhenUsed/>
    <w:rsid w:val="003807ED"/>
    <w:rPr>
      <w:color w:val="800080"/>
      <w:u w:val="single"/>
    </w:rPr>
  </w:style>
  <w:style w:type="paragraph" w:styleId="NormalWeb">
    <w:name w:val="Normal (Web)"/>
    <w:basedOn w:val="Normal"/>
    <w:uiPriority w:val="99"/>
    <w:semiHidden/>
    <w:unhideWhenUsed/>
    <w:rsid w:val="003807E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justificadorecuoprimeiralinha">
    <w:name w:val="texto_justificado_recuo_primeira_linha"/>
    <w:basedOn w:val="Normal"/>
    <w:rsid w:val="003807E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citao">
    <w:name w:val="texto_citação"/>
    <w:basedOn w:val="Normal"/>
    <w:rsid w:val="003807E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abelatextocentralizado9">
    <w:name w:val="tabela_texto_centralizado_9"/>
    <w:basedOn w:val="Normal"/>
    <w:rsid w:val="003807E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abelatextocentralizado">
    <w:name w:val="tabela_texto_centralizado"/>
    <w:basedOn w:val="Normal"/>
    <w:rsid w:val="003807E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abelatextoalinhadoesquerda">
    <w:name w:val="tabela_texto_alinhado_esquerda"/>
    <w:basedOn w:val="Normal"/>
    <w:rsid w:val="003807E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centralizado">
    <w:name w:val="texto_centralizado"/>
    <w:basedOn w:val="Normal"/>
    <w:rsid w:val="003807E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justificadorecuoprimeiralinhaesp15">
    <w:name w:val="texto_justificado_recuo_primeira_linha_esp15"/>
    <w:basedOn w:val="Normal"/>
    <w:rsid w:val="003807E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abelatextoalinhadodireita">
    <w:name w:val="tabela_texto_alinhado_direita"/>
    <w:basedOn w:val="Normal"/>
    <w:rsid w:val="003807ED"/>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3900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ei.go.gov.br/sei/controlador.php?acao=protocolo_visualizar&amp;id_protocolo=87264092&amp;id_procedimento_atual=89202573&amp;infra_sistema=100000100&amp;infra_unidade_atual=20038&amp;infra_hash=3f9f562e6e63a9c784848366f7696798e6aa8800778b91195674a7e2cf261e1d2ea6db43b94da40efbc26dd3936446fbdef8e5f3654b0ad2a4e8a0cbd403a6f80eda96c5c047b137caea49585878e1dcbce214327dafef616a172f0d223fc71c" TargetMode="External"/><Relationship Id="rId18" Type="http://schemas.openxmlformats.org/officeDocument/2006/relationships/hyperlink" Target="https://sei.go.gov.br/sei/controlador.php?acao=protocolo_visualizar&amp;id_protocolo=87987563&amp;id_procedimento_atual=89202573&amp;infra_sistema=100000100&amp;infra_unidade_atual=20038&amp;infra_hash=cc62dbe9c87b5db099605194b10515626e4b35528f619344be169a8c64d7e88a2ea6db43b94da40efbc26dd3936446fbdef8e5f3654b0ad2a4e8a0cbd403a6f80eda96c5c047b137caea49585878e1dcbce214327dafef616a172f0d223fc71c" TargetMode="External"/><Relationship Id="rId26" Type="http://schemas.openxmlformats.org/officeDocument/2006/relationships/hyperlink" Target="https://sei.go.gov.br/sei/controlador.php?acao=protocolo_visualizar&amp;id_protocolo=78740466&amp;id_procedimento_atual=89202573&amp;infra_sistema=100000100&amp;infra_unidade_atual=20038&amp;infra_hash=4533c769d48cc430bd8145fb72c8f67e50d7b1662d1bdb7e60c2b10ebf13f7f12ea6db43b94da40efbc26dd3936446fbdef8e5f3654b0ad2a4e8a0cbd403a6f80eda96c5c047b137caea49585878e1dcbce214327dafef616a172f0d223fc71c" TargetMode="External"/><Relationship Id="rId39" Type="http://schemas.openxmlformats.org/officeDocument/2006/relationships/hyperlink" Target="http://www.planalto.gov.br/ccivil_03/LEIS/L6404consol.htm" TargetMode="External"/><Relationship Id="rId21" Type="http://schemas.openxmlformats.org/officeDocument/2006/relationships/hyperlink" Target="https://sei.go.gov.br/sei/controlador.php?acao=protocolo_visualizar&amp;id_protocolo=89693056&amp;id_procedimento_atual=89202573&amp;infra_sistema=100000100&amp;infra_unidade_atual=20038&amp;infra_hash=6497cf97960c13a900770bf5b1b3bd94a23d1053f0482206a50275366962763d2ea6db43b94da40efbc26dd3936446fbdef8e5f3654b0ad2a4e8a0cbd403a6f80eda96c5c047b137caea49585878e1dcbce214327dafef616a172f0d223fc71c" TargetMode="External"/><Relationship Id="rId34" Type="http://schemas.openxmlformats.org/officeDocument/2006/relationships/hyperlink" Target="https://sei.go.gov.br/sei/controlador.php?acao=protocolo_visualizar&amp;id_protocolo=85420227&amp;id_procedimento_atual=89202573&amp;infra_sistema=100000100&amp;infra_unidade_atual=20038&amp;infra_hash=7e2472fc972c8e10b280d46501ec15ec5e1d1a6a35faf8bfb51c940d80ee58752ea6db43b94da40efbc26dd3936446fbdef8e5f3654b0ad2a4e8a0cbd403a6f80eda96c5c047b137caea49585878e1dcbce214327dafef616a172f0d223fc71c" TargetMode="External"/><Relationship Id="rId42" Type="http://schemas.openxmlformats.org/officeDocument/2006/relationships/hyperlink" Target="https://sei.go.gov.br/sei/controlador.php?acao=protocolo_visualizar&amp;id_protocolo=44929066&amp;id_procedimento_atual=89202573&amp;infra_sistema=100000100&amp;infra_unidade_atual=20038&amp;infra_hash=1c79723607ffcfbfb365d13ea7159ead7141da5a685eb1def2f99e7c9a263f9a2ea6db43b94da40efbc26dd3936446fbdef8e5f3654b0ad2a4e8a0cbd403a6f80eda96c5c047b137caea49585878e1dcbce214327dafef616a172f0d223fc71c" TargetMode="External"/><Relationship Id="rId47" Type="http://schemas.openxmlformats.org/officeDocument/2006/relationships/hyperlink" Target="http://cfc.org.br/wp-content/uploads/2016/02/NBC_TG_GERAL_SIMPLIFICADASPME_03112016.pdf" TargetMode="External"/><Relationship Id="rId50" Type="http://schemas.openxmlformats.org/officeDocument/2006/relationships/hyperlink" Target="https://sei.go.gov.br/sei/controlador.php?acao=protocolo_visualizar&amp;id_protocolo=91661140&amp;id_procedimento_atual=89202573&amp;infra_sistema=100000100&amp;infra_unidade_atual=20038&amp;infra_hash=726bbe1eb728535fc02fc2c89f4f704d405b81413a42f5a11f9797ef3c63a2962ea6db43b94da40efbc26dd3936446fbdef8e5f3654b0ad2a4e8a0cbd403a6f80eda96c5c047b137caea49585878e1dcbce214327dafef616a172f0d223fc71c" TargetMode="External"/><Relationship Id="rId7" Type="http://schemas.openxmlformats.org/officeDocument/2006/relationships/hyperlink" Target="https://sei.go.gov.br/sei/controlador.php?acao=protocolo_visualizar&amp;id_protocolo=80360771&amp;id_procedimento_atual=89202573&amp;infra_sistema=100000100&amp;infra_unidade_atual=20038&amp;infra_hash=69948261a61a24b82b6a4691c5346997f0fe09d0cec67025481c2f251c8136932ea6db43b94da40efbc26dd3936446fbdef8e5f3654b0ad2a4e8a0cbd403a6f80eda96c5c047b137caea49585878e1dcbce214327dafef616a172f0d223fc71c" TargetMode="External"/><Relationship Id="rId2" Type="http://schemas.openxmlformats.org/officeDocument/2006/relationships/settings" Target="settings.xml"/><Relationship Id="rId16" Type="http://schemas.openxmlformats.org/officeDocument/2006/relationships/hyperlink" Target="https://sei.go.gov.br/sei/controlador.php?acao=protocolo_visualizar&amp;id_protocolo=87842197&amp;id_procedimento_atual=89202573&amp;infra_sistema=100000100&amp;infra_unidade_atual=20038&amp;infra_hash=3a5271a4bb7ae38fe3fbcf388f7b67482a8295b00437ba3e54a17b28004992472ea6db43b94da40efbc26dd3936446fbdef8e5f3654b0ad2a4e8a0cbd403a6f80eda96c5c047b137caea49585878e1dcbce214327dafef616a172f0d223fc71c" TargetMode="External"/><Relationship Id="rId29" Type="http://schemas.openxmlformats.org/officeDocument/2006/relationships/hyperlink" Target="https://sei.go.gov.br/sei/controlador.php?acao=protocolo_visualizar&amp;id_protocolo=89705747&amp;id_procedimento_atual=89202573&amp;infra_sistema=100000100&amp;infra_unidade_atual=20038&amp;infra_hash=c008a792ab3681987b36512c28645b6a60f99621a9a79910fdb2a7227154da452ea6db43b94da40efbc26dd3936446fbdef8e5f3654b0ad2a4e8a0cbd403a6f80eda96c5c047b137caea49585878e1dcbce214327dafef616a172f0d223fc71c" TargetMode="External"/><Relationship Id="rId11" Type="http://schemas.openxmlformats.org/officeDocument/2006/relationships/hyperlink" Target="https://sei.go.gov.br/sei/controlador.php?acao=protocolo_visualizar&amp;id_protocolo=87644598&amp;id_procedimento_atual=89202573&amp;infra_sistema=100000100&amp;infra_unidade_atual=20038&amp;infra_hash=f5208b0d29d355a2764d6c5844fa10086913f2a8c4ee995e31b3cba55b6e62a52ea6db43b94da40efbc26dd3936446fbdef8e5f3654b0ad2a4e8a0cbd403a6f80eda96c5c047b137caea49585878e1dcbce214327dafef616a172f0d223fc71c" TargetMode="External"/><Relationship Id="rId24" Type="http://schemas.openxmlformats.org/officeDocument/2006/relationships/hyperlink" Target="https://sei.go.gov.br/sei/controlador.php?acao=protocolo_visualizar&amp;id_protocolo=80034272&amp;id_procedimento_atual=89202573&amp;infra_sistema=100000100&amp;infra_unidade_atual=20038&amp;infra_hash=6de06ca2b0417ea4b4019d032412697225c75af783c7ad17511e1e98ffe02e6a2ea6db43b94da40efbc26dd3936446fbdef8e5f3654b0ad2a4e8a0cbd403a6f80eda96c5c047b137caea49585878e1dcbce214327dafef616a172f0d223fc71c" TargetMode="External"/><Relationship Id="rId32" Type="http://schemas.openxmlformats.org/officeDocument/2006/relationships/hyperlink" Target="https://sei.go.gov.br/sei/controlador.php?acao=protocolo_visualizar&amp;id_protocolo=71182511&amp;id_procedimento_atual=89202573&amp;infra_sistema=100000100&amp;infra_unidade_atual=20038&amp;infra_hash=028efbd8013078b02a1dee67ad42c735df1b43b1d3642ebe0c85d95d9acb6b3a2ea6db43b94da40efbc26dd3936446fbdef8e5f3654b0ad2a4e8a0cbd403a6f80eda96c5c047b137caea49585878e1dcbce214327dafef616a172f0d223fc71c" TargetMode="External"/><Relationship Id="rId37" Type="http://schemas.openxmlformats.org/officeDocument/2006/relationships/hyperlink" Target="https://sei.go.gov.br/sei/controlador.php?acao=protocolo_visualizar&amp;id_protocolo=88079314&amp;id_procedimento_atual=89202573&amp;infra_sistema=100000100&amp;infra_unidade_atual=20038&amp;infra_hash=d7b01510a817244511595dac3951984091c8a01cba671f569ff2229c33f05fd12ea6db43b94da40efbc26dd3936446fbdef8e5f3654b0ad2a4e8a0cbd403a6f80eda96c5c047b137caea49585878e1dcbce214327dafef616a172f0d223fc71c" TargetMode="External"/><Relationship Id="rId40" Type="http://schemas.openxmlformats.org/officeDocument/2006/relationships/hyperlink" Target="https://sei.go.gov.br/sei/controlador.php?acao=protocolo_visualizar&amp;id_protocolo=72985458&amp;id_procedimento_atual=89202573&amp;infra_sistema=100000100&amp;infra_unidade_atual=20038&amp;infra_hash=44db97109c20e3db0c5a94d66daeafe4b805644f02db070a61a86b5475b026e62ea6db43b94da40efbc26dd3936446fbdef8e5f3654b0ad2a4e8a0cbd403a6f80eda96c5c047b137caea49585878e1dcbce214327dafef616a172f0d223fc71c" TargetMode="External"/><Relationship Id="rId45" Type="http://schemas.openxmlformats.org/officeDocument/2006/relationships/hyperlink" Target="https://sei.go.gov.br/sei/controlador.php?acao=protocolo_visualizar&amp;id_protocolo=72985458&amp;id_procedimento_atual=89202573&amp;infra_sistema=100000100&amp;infra_unidade_atual=20038&amp;infra_hash=44db97109c20e3db0c5a94d66daeafe4b805644f02db070a61a86b5475b026e62ea6db43b94da40efbc26dd3936446fbdef8e5f3654b0ad2a4e8a0cbd403a6f80eda96c5c047b137caea49585878e1dcbce214327dafef616a172f0d223fc71c" TargetMode="External"/><Relationship Id="rId53" Type="http://schemas.openxmlformats.org/officeDocument/2006/relationships/theme" Target="theme/theme1.xml"/><Relationship Id="rId5" Type="http://schemas.openxmlformats.org/officeDocument/2006/relationships/hyperlink" Target="https://sei.go.gov.br/sei/controlador.php?acao=protocolo_visualizar&amp;id_protocolo=72985458&amp;id_procedimento_atual=89202573&amp;infra_sistema=100000100&amp;infra_unidade_atual=20038&amp;infra_hash=44db97109c20e3db0c5a94d66daeafe4b805644f02db070a61a86b5475b026e62ea6db43b94da40efbc26dd3936446fbdef8e5f3654b0ad2a4e8a0cbd403a6f80eda96c5c047b137caea49585878e1dcbce214327dafef616a172f0d223fc71c" TargetMode="External"/><Relationship Id="rId10" Type="http://schemas.openxmlformats.org/officeDocument/2006/relationships/hyperlink" Target="https://sei.go.gov.br/sei/controlador.php?acao=protocolo_visualizar&amp;id_protocolo=89799861&amp;id_procedimento_atual=89202573&amp;infra_sistema=100000100&amp;infra_unidade_atual=20038&amp;infra_hash=baf4090d1a671730724062bc861dff4b2480fcdb4e424dfb5e1f897399394c8b2ea6db43b94da40efbc26dd3936446fbdef8e5f3654b0ad2a4e8a0cbd403a6f80eda96c5c047b137caea49585878e1dcbce214327dafef616a172f0d223fc71c" TargetMode="External"/><Relationship Id="rId19" Type="http://schemas.openxmlformats.org/officeDocument/2006/relationships/hyperlink" Target="https://sei.go.gov.br/sei/controlador.php?acao=protocolo_visualizar&amp;id_protocolo=85644682&amp;id_procedimento_atual=89202573&amp;infra_sistema=100000100&amp;infra_unidade_atual=20038&amp;infra_hash=7946c75117851ab9461e35bd8f366a90f13f1fe365c2f2208bf8ca853e2b7aea2ea6db43b94da40efbc26dd3936446fbdef8e5f3654b0ad2a4e8a0cbd403a6f80eda96c5c047b137caea49585878e1dcbce214327dafef616a172f0d223fc71c" TargetMode="External"/><Relationship Id="rId31" Type="http://schemas.openxmlformats.org/officeDocument/2006/relationships/hyperlink" Target="https://sei.go.gov.br/sei/controlador.php?acao=protocolo_visualizar&amp;id_protocolo=67458802&amp;id_procedimento_atual=89202573&amp;infra_sistema=100000100&amp;infra_unidade_atual=20038&amp;infra_hash=9bac964ed26c169eb3a392a3d2315cfe8cef460f30401732dfdbe2e714cf61d12ea6db43b94da40efbc26dd3936446fbdef8e5f3654b0ad2a4e8a0cbd403a6f80eda96c5c047b137caea49585878e1dcbce214327dafef616a172f0d223fc71c" TargetMode="External"/><Relationship Id="rId44" Type="http://schemas.openxmlformats.org/officeDocument/2006/relationships/hyperlink" Target="https://sei.go.gov.br/sei/controlador.php?acao=protocolo_visualizar&amp;id_protocolo=79575969&amp;id_procedimento_atual=89202573&amp;infra_sistema=100000100&amp;infra_unidade_atual=20038&amp;infra_hash=f418a6e94491ca81013162d21d903db42bf1de4f456cf08bbc16a1452cc6599a2ea6db43b94da40efbc26dd3936446fbdef8e5f3654b0ad2a4e8a0cbd403a6f80eda96c5c047b137caea49585878e1dcbce214327dafef616a172f0d223fc71c" TargetMode="External"/><Relationship Id="rId52" Type="http://schemas.openxmlformats.org/officeDocument/2006/relationships/fontTable" Target="fontTable.xml"/><Relationship Id="rId4" Type="http://schemas.openxmlformats.org/officeDocument/2006/relationships/hyperlink" Target="https://sei.go.gov.br/sei/controlador.php?acao=protocolo_visualizar&amp;id_protocolo=90947005&amp;id_procedimento_atual=89202573&amp;infra_sistema=100000100&amp;infra_unidade_atual=20038&amp;infra_hash=3d430d2b2b573b138fba592f8b86ca6acacf6a96914b9f91a4b092a977b251a22ea6db43b94da40efbc26dd3936446fbdef8e5f3654b0ad2a4e8a0cbd403a6f80eda96c5c047b137caea49585878e1dcbce214327dafef616a172f0d223fc71c" TargetMode="External"/><Relationship Id="rId9" Type="http://schemas.openxmlformats.org/officeDocument/2006/relationships/hyperlink" Target="https://sei.go.gov.br/sei/controlador.php?acao=protocolo_visualizar&amp;id_protocolo=86806128&amp;id_procedimento_atual=89202573&amp;infra_sistema=100000100&amp;infra_unidade_atual=20038&amp;infra_hash=5d4cc6e06421b3f219a3bc2a23cfffb84cbd461d747a45d06276c5aadb6ea8b32ea6db43b94da40efbc26dd3936446fbdef8e5f3654b0ad2a4e8a0cbd403a6f80eda96c5c047b137caea49585878e1dcbce214327dafef616a172f0d223fc71c" TargetMode="External"/><Relationship Id="rId14" Type="http://schemas.openxmlformats.org/officeDocument/2006/relationships/hyperlink" Target="https://sei.go.gov.br/sei/controlador.php?acao=protocolo_visualizar&amp;id_protocolo=87085578&amp;id_procedimento_atual=89202573&amp;infra_sistema=100000100&amp;infra_unidade_atual=20038&amp;infra_hash=c5f12047e5df86ff4fa1c5646483e088b04623ae53b3e54567eb5c277c41d62b2ea6db43b94da40efbc26dd3936446fbdef8e5f3654b0ad2a4e8a0cbd403a6f80eda96c5c047b137caea49585878e1dcbce214327dafef616a172f0d223fc71c" TargetMode="External"/><Relationship Id="rId22" Type="http://schemas.openxmlformats.org/officeDocument/2006/relationships/hyperlink" Target="https://sei.go.gov.br/sei/controlador.php?acao=protocolo_visualizar&amp;id_protocolo=89706602&amp;id_procedimento_atual=89202573&amp;infra_sistema=100000100&amp;infra_unidade_atual=20038&amp;infra_hash=e910c29f0d00ae738e4321a43999fbe8906a2367f485effe7b6b24ec2ccb61d92ea6db43b94da40efbc26dd3936446fbdef8e5f3654b0ad2a4e8a0cbd403a6f80eda96c5c047b137caea49585878e1dcbce214327dafef616a172f0d223fc71c" TargetMode="External"/><Relationship Id="rId27" Type="http://schemas.openxmlformats.org/officeDocument/2006/relationships/hyperlink" Target="https://sei.go.gov.br/sei/controlador.php?acao=protocolo_visualizar&amp;id_protocolo=59062936&amp;id_procedimento_atual=89202573&amp;infra_sistema=100000100&amp;infra_unidade_atual=20038&amp;infra_hash=d18271f5dc33142fd81adbf49cafc75898af6062568a77f6f625ca18083ac24c2ea6db43b94da40efbc26dd3936446fbdef8e5f3654b0ad2a4e8a0cbd403a6f80eda96c5c047b137caea49585878e1dcbce214327dafef616a172f0d223fc71c" TargetMode="External"/><Relationship Id="rId30" Type="http://schemas.openxmlformats.org/officeDocument/2006/relationships/hyperlink" Target="https://sei.go.gov.br/sei/controlador.php?acao=protocolo_visualizar&amp;id_protocolo=89706602&amp;id_procedimento_atual=89202573&amp;infra_sistema=100000100&amp;infra_unidade_atual=20038&amp;infra_hash=e910c29f0d00ae738e4321a43999fbe8906a2367f485effe7b6b24ec2ccb61d92ea6db43b94da40efbc26dd3936446fbdef8e5f3654b0ad2a4e8a0cbd403a6f80eda96c5c047b137caea49585878e1dcbce214327dafef616a172f0d223fc71c" TargetMode="External"/><Relationship Id="rId35" Type="http://schemas.openxmlformats.org/officeDocument/2006/relationships/hyperlink" Target="https://sei.go.gov.br/sei/controlador.php?acao=protocolo_visualizar&amp;id_protocolo=87918129&amp;id_procedimento_atual=89202573&amp;infra_sistema=100000100&amp;infra_unidade_atual=20038&amp;infra_hash=de678cd6a8cb44ec61b8779499eece640a5f0f43746ae92d57377cb6ed2b544d2ea6db43b94da40efbc26dd3936446fbdef8e5f3654b0ad2a4e8a0cbd403a6f80eda96c5c047b137caea49585878e1dcbce214327dafef616a172f0d223fc71c" TargetMode="External"/><Relationship Id="rId43" Type="http://schemas.openxmlformats.org/officeDocument/2006/relationships/hyperlink" Target="https://sei.go.gov.br/sei/controlador.php?acao=protocolo_visualizar&amp;id_protocolo=72985458&amp;id_procedimento_atual=89202573&amp;infra_sistema=100000100&amp;infra_unidade_atual=20038&amp;infra_hash=44db97109c20e3db0c5a94d66daeafe4b805644f02db070a61a86b5475b026e62ea6db43b94da40efbc26dd3936446fbdef8e5f3654b0ad2a4e8a0cbd403a6f80eda96c5c047b137caea49585878e1dcbce214327dafef616a172f0d223fc71c" TargetMode="External"/><Relationship Id="rId48" Type="http://schemas.openxmlformats.org/officeDocument/2006/relationships/hyperlink" Target="https://sei.go.gov.br/sei/controlador.php?acao=protocolo_visualizar&amp;id_protocolo=73174487&amp;id_procedimento_atual=89202573&amp;infra_sistema=100000100&amp;infra_unidade_atual=20038&amp;infra_hash=790192525e364d056b096f7c98ea3a5b7e88a70ae9aa0aef69f9c50465429d262ea6db43b94da40efbc26dd3936446fbdef8e5f3654b0ad2a4e8a0cbd403a6f80eda96c5c047b137caea49585878e1dcbce214327dafef616a172f0d223fc71c" TargetMode="External"/><Relationship Id="rId8" Type="http://schemas.openxmlformats.org/officeDocument/2006/relationships/hyperlink" Target="https://sei.go.gov.br/sei/controlador.php?acao=protocolo_visualizar&amp;id_protocolo=82550286&amp;id_procedimento_atual=89202573&amp;infra_sistema=100000100&amp;infra_unidade_atual=20038&amp;infra_hash=b325558dfee7eb4f114b030e2ba152538b1ccc064ed38045188257dd39011c4d2ea6db43b94da40efbc26dd3936446fbdef8e5f3654b0ad2a4e8a0cbd403a6f80eda96c5c047b137caea49585878e1dcbce214327dafef616a172f0d223fc71c" TargetMode="External"/><Relationship Id="rId51" Type="http://schemas.openxmlformats.org/officeDocument/2006/relationships/hyperlink" Target="https://sei.go.gov.br/sei/controlador.php?acao=protocolo_visualizar&amp;id_protocolo=92452460&amp;id_procedimento_atual=89202573&amp;infra_sistema=100000100&amp;infra_unidade_atual=20038&amp;infra_hash=c05081ed6a08a92cf8874ca289fe82d06cbd65144bafbd79d7010097a55abe5e2ea6db43b94da40efbc26dd3936446fbdef8e5f3654b0ad2a4e8a0cbd403a6f80eda96c5c047b137caea49585878e1dcbce214327dafef616a172f0d223fc71c" TargetMode="External"/><Relationship Id="rId3" Type="http://schemas.openxmlformats.org/officeDocument/2006/relationships/webSettings" Target="webSettings.xml"/><Relationship Id="rId12" Type="http://schemas.openxmlformats.org/officeDocument/2006/relationships/hyperlink" Target="https://sei.go.gov.br/sei/controlador.php?acao=protocolo_visualizar&amp;id_protocolo=85420227&amp;id_procedimento_atual=89202573&amp;infra_sistema=100000100&amp;infra_unidade_atual=20038&amp;infra_hash=7e2472fc972c8e10b280d46501ec15ec5e1d1a6a35faf8bfb51c940d80ee58752ea6db43b94da40efbc26dd3936446fbdef8e5f3654b0ad2a4e8a0cbd403a6f80eda96c5c047b137caea49585878e1dcbce214327dafef616a172f0d223fc71c" TargetMode="External"/><Relationship Id="rId17" Type="http://schemas.openxmlformats.org/officeDocument/2006/relationships/hyperlink" Target="https://sei.go.gov.br/sei/controlador.php?acao=protocolo_visualizar&amp;id_protocolo=87842130&amp;id_procedimento_atual=89202573&amp;infra_sistema=100000100&amp;infra_unidade_atual=20038&amp;infra_hash=6fc3e3c50bdffeb4406c481142d2ea943c288fc8f0ab874d0ab831578c80aa152ea6db43b94da40efbc26dd3936446fbdef8e5f3654b0ad2a4e8a0cbd403a6f80eda96c5c047b137caea49585878e1dcbce214327dafef616a172f0d223fc71c" TargetMode="External"/><Relationship Id="rId25" Type="http://schemas.openxmlformats.org/officeDocument/2006/relationships/hyperlink" Target="https://sei.go.gov.br/sei/controlador.php?acao=protocolo_visualizar&amp;id_protocolo=46220365&amp;id_procedimento_atual=89202573&amp;infra_sistema=100000100&amp;infra_unidade_atual=20038&amp;infra_hash=676497e6f52d0b9bff0c8a798e4027d3bda60a2d6e2bd8b50d9d4bc647b2a6c32ea6db43b94da40efbc26dd3936446fbdef8e5f3654b0ad2a4e8a0cbd403a6f80eda96c5c047b137caea49585878e1dcbce214327dafef616a172f0d223fc71c" TargetMode="External"/><Relationship Id="rId33" Type="http://schemas.openxmlformats.org/officeDocument/2006/relationships/hyperlink" Target="https://sei.go.gov.br/sei/controlador.php?acao=protocolo_visualizar&amp;id_protocolo=88087523&amp;id_procedimento_atual=89202573&amp;infra_sistema=100000100&amp;infra_unidade_atual=20038&amp;infra_hash=b8ea672a8fdafda52f2ebca3ae1ae1749f07e2cf8eb3ae1e5ea3d3fac4043cf92ea6db43b94da40efbc26dd3936446fbdef8e5f3654b0ad2a4e8a0cbd403a6f80eda96c5c047b137caea49585878e1dcbce214327dafef616a172f0d223fc71c" TargetMode="External"/><Relationship Id="rId38" Type="http://schemas.openxmlformats.org/officeDocument/2006/relationships/hyperlink" Target="https://sei.go.gov.br/sei/controlador.php?acao=protocolo_visualizar&amp;id_protocolo=88083096&amp;id_procedimento_atual=89202573&amp;infra_sistema=100000100&amp;infra_unidade_atual=20038&amp;infra_hash=2ce28575b0ade0589baea8bed6b2150f249acb2eec6368208f584433287bf0f92ea6db43b94da40efbc26dd3936446fbdef8e5f3654b0ad2a4e8a0cbd403a6f80eda96c5c047b137caea49585878e1dcbce214327dafef616a172f0d223fc71c" TargetMode="External"/><Relationship Id="rId46" Type="http://schemas.openxmlformats.org/officeDocument/2006/relationships/hyperlink" Target="https://sei.go.gov.br/sei/controlador.php?acao=protocolo_visualizar&amp;id_protocolo=67458802&amp;id_procedimento_atual=89202573&amp;infra_sistema=100000100&amp;infra_unidade_atual=20038&amp;infra_hash=9bac964ed26c169eb3a392a3d2315cfe8cef460f30401732dfdbe2e714cf61d12ea6db43b94da40efbc26dd3936446fbdef8e5f3654b0ad2a4e8a0cbd403a6f80eda96c5c047b137caea49585878e1dcbce214327dafef616a172f0d223fc71c" TargetMode="External"/><Relationship Id="rId20" Type="http://schemas.openxmlformats.org/officeDocument/2006/relationships/hyperlink" Target="https://sei.go.gov.br/sei/controlador.php?acao=protocolo_visualizar&amp;id_protocolo=89688367&amp;id_procedimento_atual=89202573&amp;infra_sistema=100000100&amp;infra_unidade_atual=20038&amp;infra_hash=abd2b6fc8f4efcb79967e4f4f17eadf2e3ec4923d23a1afe42d5efc3e8c210e62ea6db43b94da40efbc26dd3936446fbdef8e5f3654b0ad2a4e8a0cbd403a6f80eda96c5c047b137caea49585878e1dcbce214327dafef616a172f0d223fc71c" TargetMode="External"/><Relationship Id="rId41" Type="http://schemas.openxmlformats.org/officeDocument/2006/relationships/hyperlink" Target="https://sei.go.gov.br/sei/controlador.php?acao=protocolo_visualizar&amp;id_protocolo=73174487&amp;id_procedimento_atual=89202573&amp;infra_sistema=100000100&amp;infra_unidade_atual=20038&amp;infra_hash=790192525e364d056b096f7c98ea3a5b7e88a70ae9aa0aef69f9c50465429d262ea6db43b94da40efbc26dd3936446fbdef8e5f3654b0ad2a4e8a0cbd403a6f80eda96c5c047b137caea49585878e1dcbce214327dafef616a172f0d223fc71c" TargetMode="External"/><Relationship Id="rId1" Type="http://schemas.openxmlformats.org/officeDocument/2006/relationships/styles" Target="styles.xml"/><Relationship Id="rId6" Type="http://schemas.openxmlformats.org/officeDocument/2006/relationships/hyperlink" Target="https://sei.go.gov.br/sei/controlador.php?acao=protocolo_visualizar&amp;id_protocolo=79575969&amp;id_procedimento_atual=89202573&amp;infra_sistema=100000100&amp;infra_unidade_atual=20038&amp;infra_hash=f418a6e94491ca81013162d21d903db42bf1de4f456cf08bbc16a1452cc6599a2ea6db43b94da40efbc26dd3936446fbdef8e5f3654b0ad2a4e8a0cbd403a6f80eda96c5c047b137caea49585878e1dcbce214327dafef616a172f0d223fc71c" TargetMode="External"/><Relationship Id="rId15" Type="http://schemas.openxmlformats.org/officeDocument/2006/relationships/hyperlink" Target="https://sei.go.gov.br/sei/controlador.php?acao=protocolo_visualizar&amp;id_protocolo=87085578&amp;id_procedimento_atual=89202573&amp;infra_sistema=100000100&amp;infra_unidade_atual=20038&amp;infra_hash=c5f12047e5df86ff4fa1c5646483e088b04623ae53b3e54567eb5c277c41d62b2ea6db43b94da40efbc26dd3936446fbdef8e5f3654b0ad2a4e8a0cbd403a6f80eda96c5c047b137caea49585878e1dcbce214327dafef616a172f0d223fc71c" TargetMode="External"/><Relationship Id="rId23" Type="http://schemas.openxmlformats.org/officeDocument/2006/relationships/hyperlink" Target="https://sei.go.gov.br/sei/controlador.php?acao=protocolo_visualizar&amp;id_protocolo=50817924&amp;id_procedimento_atual=89202573&amp;infra_sistema=100000100&amp;infra_unidade_atual=20038&amp;infra_hash=09cf6eb5b7fa01126671ad9a6fa902968a41528601f4650d3883f37a4b5b982b2ea6db43b94da40efbc26dd3936446fbdef8e5f3654b0ad2a4e8a0cbd403a6f80eda96c5c047b137caea49585878e1dcbce214327dafef616a172f0d223fc71c" TargetMode="External"/><Relationship Id="rId28" Type="http://schemas.openxmlformats.org/officeDocument/2006/relationships/hyperlink" Target="https://sei.go.gov.br/sei/controlador.php?acao=protocolo_visualizar&amp;id_protocolo=85644682&amp;id_procedimento_atual=89202573&amp;infra_sistema=100000100&amp;infra_unidade_atual=20038&amp;infra_hash=7946c75117851ab9461e35bd8f366a90f13f1fe365c2f2208bf8ca853e2b7aea2ea6db43b94da40efbc26dd3936446fbdef8e5f3654b0ad2a4e8a0cbd403a6f80eda96c5c047b137caea49585878e1dcbce214327dafef616a172f0d223fc71c" TargetMode="External"/><Relationship Id="rId36" Type="http://schemas.openxmlformats.org/officeDocument/2006/relationships/hyperlink" Target="https://sei.go.gov.br/sei/controlador.php?acao=protocolo_visualizar&amp;id_protocolo=88077823&amp;id_procedimento_atual=89202573&amp;infra_sistema=100000100&amp;infra_unidade_atual=20038&amp;infra_hash=5ba2d3aee24b72169d04e708f59df78ff701b18cbaa4487a4bd4bedc0de973972ea6db43b94da40efbc26dd3936446fbdef8e5f3654b0ad2a4e8a0cbd403a6f80eda96c5c047b137caea49585878e1dcbce214327dafef616a172f0d223fc71c" TargetMode="External"/><Relationship Id="rId49" Type="http://schemas.openxmlformats.org/officeDocument/2006/relationships/hyperlink" Target="https://sei.go.gov.br/sei/controlador.php?acao=protocolo_visualizar&amp;id_protocolo=89974291&amp;id_procedimento_atual=89202573&amp;infra_sistema=100000100&amp;infra_unidade_atual=20038&amp;infra_hash=b2a7e8d971647b98d7f943e0e66f009383d5a7a27013a7c6cb6d40ed927941482ea6db43b94da40efbc26dd3936446fbdef8e5f3654b0ad2a4e8a0cbd403a6f80eda96c5c047b137caea49585878e1dcbce214327dafef616a172f0d223fc71c"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19454</Words>
  <Characters>105054</Characters>
  <Application>Microsoft Office Word</Application>
  <DocSecurity>0</DocSecurity>
  <Lines>875</Lines>
  <Paragraphs>248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KAMILLA GUIMARAES RODRIGUES</dc:creator>
  <cp:keywords/>
  <dc:description/>
  <cp:lastModifiedBy>KAMILLA GUIMARAES RODRIGUES</cp:lastModifiedBy>
  <cp:revision>5</cp:revision>
  <dcterms:created xsi:type="dcterms:W3CDTF">2026-05-07T22:59:00Z</dcterms:created>
  <dcterms:modified xsi:type="dcterms:W3CDTF">2026-05-07T23:01:00Z</dcterms:modified>
</cp:coreProperties>
</file>