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Notas Explicativas da administração às Demonstrações Financeiras intermediárias</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AGÊNCIA GOIANA DE HABITAÇÃO S/A - AGEHAB</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CNPJ 01.274.240/0001-47</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31 de MARÇO de 2026</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1. INFORMAÇÕES GERAIS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1.1. A AGÊNCIA GOIANA DE HABITAÇÃO S/A, adiante denominada AGEHAB, uma sociedade por ações, de economia mista, companhia de capital fechado, integrante da administração indireta do Estado de Goiás, sucedânea da COMPANHIA DE HABITAÇÃO DE GOIÁS – COHAB-GO, criada na forma do Decreto-Lei Estadual nº 226, de 03 de julho de 1970 e Lei Municipal de Goiânia n.º 4.652,de 29 de dezembro de 1972, transformada na Agência Goiana de Habitação, através da Lei Estadual n.º 13.532, de 15 de outubro de 1999, sendo credenciada para administrar a carteira habitacional pertencente ao Estado de Goiás e, subordinada ao controle acionário do Governo de Goiás, se reger- se-á pelo presente Estatuto, pela Lei Federal n.º 6.404, de 15 de dezembro de 1976, pela Lei Federal n.º 13.303, de 30 de junho de 2016 e demais legislações aplicáveis.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1.2. A AGEHAB é uma sociedade dotada de personalidade jurídica de direito privado, com patrimônio próprio e autonomia administrativa e financeira, pertencente a Administração Indireta do Poder Executivo Estadual, sendo assim jurisdicionada a um órgão da Administração Direta nos termos da legislação estadual vigente que dispõe sobre a organização administrativa básica do Poder Executivo.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1.3. A AGEHAB, para todos os efeitos jurídicos, tem sede e foro na cidade de Goiânia, Capital do Estado de Goiás, na Rua 18-A, n° 541, Quadra 31-A, Lote 20/21, Setor Aeroporto, CEP: 74070- 060.</w:t>
      </w:r>
    </w:p>
    <w:p w:rsidR="005F1569" w:rsidRPr="005F1569" w:rsidRDefault="005F1569" w:rsidP="005F1569">
      <w:pPr>
        <w:spacing w:before="100" w:beforeAutospacing="1" w:after="100" w:afterAutospacing="1" w:line="240" w:lineRule="auto"/>
        <w:jc w:val="both"/>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w:t>
      </w:r>
    </w:p>
    <w:p w:rsidR="005F1569" w:rsidRPr="005F1569" w:rsidRDefault="005F1569" w:rsidP="005F1569">
      <w:pPr>
        <w:spacing w:before="100" w:beforeAutospacing="1" w:after="100" w:afterAutospacing="1" w:line="240" w:lineRule="auto"/>
        <w:jc w:val="both"/>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lastRenderedPageBreak/>
        <w:t>                                                                                                                                                                                                                                          2. INFORMAÇÕES OPERACIONAIS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2.1. A AGEHAB é uma empresa prestadora de serviços tendo como principais objetos sociais administrar a Carteira Imobiliária pertencente ao Estado de Goiás e administrar os recursos financeiros oriundos de Subvenções Governamentais para cumprimento dos PROGRAMAS SOCIAIS DE HABITAÇÃO DE INTERESSE SOCIAL.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2.2. Objeto Social conforme Estatuto Social: Art. 3º. Constitui objeto da AGEHAB: Art. 3º. Constitui objeto da AGEHAB:I. elaborar, empreender e implantar soluções habitacionais e de regularização fundiária de interesse social que visem a redução do déficit habitacional do Estado de Goiás; II. administrar a Carteira Imobiliária pertencente ao Estado de Goiás; III. elaborar programas, planejar, projetar, executar, produzir obras de construções de unidades habitacionais, reformas, equipamentos comunitários, de infraestrutura urbana em lotes urbanizados e rurais; IV. empreender atividades de desenvolvimento social em zona urbana, rural ou comunitária; V. prospectar e atrair as melhores soluções tecnológicas de mercado referentes à habitação e regularização fundiária de interesse social para o Estado de Goiás; VI. transferir recursos financeiros que assegurem o direito social à moradia digna por intermédio da transferência direta de renda para custear a locação de imóveis ou o pagamento da prestação da casa própria, por tempo determinado, a segmentos inscritos no Cadastro Único para Programas Sociais do Governo Federal – CadÚnico; VII. identificar e mobilizar fontes para financiamento dos planos de habitação social, inclusive, aqueles destinados a equipamentos e à investidura de apoio ao desenvolvimento da comunidade; VIII. empreender construções, para si ou para terceiros, e participar de transações comerciais e industriais ou, ainda, de sociedades correlatas, desde que vinculadas às suas finalidades; IX. exercer a comercialização e, quando entender oportuno, a industrialização de materiais de construção, desde que vinculada à sua finalidade; X. preservar, manter atualizado e protegido, nos termos das legislações vigentes, todos os dados e</w:t>
      </w:r>
      <w:r w:rsidRPr="005F1569">
        <w:rPr>
          <w:rFonts w:ascii="Calibri" w:eastAsia="Times New Roman" w:hAnsi="Calibri" w:cs="Calibri"/>
          <w:color w:val="000000"/>
          <w:sz w:val="27"/>
          <w:szCs w:val="27"/>
          <w:lang w:eastAsia="pt-BR"/>
        </w:rPr>
        <w:br/>
        <w:t xml:space="preserve">informações relacionados a execução dos programas habitacionais e de regularização fundiária de interesse social, inclusive de beneficiários; XI. promover a regularização fundiária das ocupações de interesse social, na </w:t>
      </w:r>
      <w:r w:rsidRPr="005F1569">
        <w:rPr>
          <w:rFonts w:ascii="Calibri" w:eastAsia="Times New Roman" w:hAnsi="Calibri" w:cs="Calibri"/>
          <w:color w:val="000000"/>
          <w:sz w:val="27"/>
          <w:szCs w:val="27"/>
          <w:lang w:eastAsia="pt-BR"/>
        </w:rPr>
        <w:lastRenderedPageBreak/>
        <w:t>forma da legislação vigente, bem como estabelecer parcerias com Municípios, entidades, associações e outros para capacitação técnica e outros serviços na área em questão; XII. firmar ajustes diversos, tais como, convênios, acordos ou contratos com pessoas físicas e jurídicas de direito público ou privado, bem como ajustes de parceria com a União, Estados e Municípios, inclusive por meio da Caixa Econômica Federal, Banco do Brasil, ou outra instituição financeira credenciada, para execução do objeto social da empresa; XIII. adquirir e alienar terrenos, receber doações, subvenções e auxílios, permutar, arrendar, alugar bens imóveis de sua propriedade, administrar imóveis, e, eventualmente, sugerir desapropriações ao Poder Público a fim de atender às necessidades básicas de produção de unidades habitacionais de interesse social; XIV. adquirir imóveis prontos, sejam eles novos ou usados, em construção, na planta, ou de loteamento para implantação de empreendimentos habitacionais de interesse social, todos para posterior doação das unidades habitacionais de interesse social em benefício de famílias de baixa renda, vulneráveis social e economicamente; XV. cobrar taxas de fiscalização, bem como comercializar seus projetos arquitetônicos de unidades habitacionais junto a empresas e/ou particulares; XVI. articular com os Municípios, sindicatos, entidades associativas e cooperativas, visando desenvolver programas de cartas de créditos para o atendimento das necessidades de habitação de grupos sociais específicos que tenham no associativismo uma modalidade de aquisição de casa própria; XVII. prestar assistência técnica gratuita à municípios e entidades diversas, desde que relacionadas ao objeto social da empresa; XVIII. abrir, instalar, extinguir filiais, dependências, agências, sucursais, escritórios e representações, relacionados à programas habitacionais e regularização fundiária de interesse social.</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Objetivo Institucional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2.3. A AGEHAB tem como atividade finalística a execução das políticas públicas, programas e ações voltadas ao direito de habitação, bem como a regularização fundiária, especialmente da população que não dispõe de meios para prover às suas necessidades habitacionais.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Eixo: Goiás da Inclusão</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Objetivo Estratégico: Proteção Social</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lastRenderedPageBreak/>
        <w:t>Programa: Moradia como base da cidadania</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2.4. Os dados demonstrados abaixo referem-se aos resultados operacionais dos programas sociais de habitação de interesse social, administrados pela AGEHAB, conforme DESPACHO Nº 62/2026/AGEHAB/NGPM-11799 (</w:t>
      </w:r>
      <w:hyperlink r:id="rId4" w:tgtFrame="_blank" w:history="1">
        <w:r w:rsidRPr="005F1569">
          <w:rPr>
            <w:rFonts w:ascii="Calibri" w:eastAsia="Times New Roman" w:hAnsi="Calibri" w:cs="Calibri"/>
            <w:color w:val="0000FF"/>
            <w:sz w:val="27"/>
            <w:szCs w:val="27"/>
            <w:u w:val="single"/>
            <w:lang w:eastAsia="pt-BR"/>
          </w:rPr>
          <w:t>90063666</w:t>
        </w:r>
      </w:hyperlink>
      <w:r w:rsidRPr="005F1569">
        <w:rPr>
          <w:rFonts w:ascii="Calibri" w:eastAsia="Times New Roman" w:hAnsi="Calibri" w:cs="Calibri"/>
          <w:color w:val="000000"/>
          <w:sz w:val="27"/>
          <w:szCs w:val="27"/>
          <w:lang w:eastAsia="pt-BR"/>
        </w:rPr>
        <w:t>).</w:t>
      </w:r>
    </w:p>
    <w:tbl>
      <w:tblPr>
        <w:tblW w:w="1508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700"/>
        <w:gridCol w:w="1900"/>
        <w:gridCol w:w="3480"/>
      </w:tblGrid>
      <w:tr w:rsidR="005F1569" w:rsidRPr="005F1569" w:rsidTr="005F1569">
        <w:trPr>
          <w:trHeight w:val="255"/>
          <w:tblHeader/>
        </w:trPr>
        <w:tc>
          <w:tcPr>
            <w:tcW w:w="15080" w:type="dxa"/>
            <w:gridSpan w:val="3"/>
            <w:tcBorders>
              <w:top w:val="nil"/>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before="216" w:after="216" w:line="240" w:lineRule="auto"/>
              <w:jc w:val="center"/>
              <w:rPr>
                <w:rFonts w:ascii="Times New Roman" w:eastAsia="Times New Roman" w:hAnsi="Times New Roman" w:cs="Times New Roman"/>
                <w:b/>
                <w:bCs/>
                <w:color w:val="000000"/>
                <w:sz w:val="20"/>
                <w:szCs w:val="20"/>
                <w:lang w:eastAsia="pt-BR"/>
              </w:rPr>
            </w:pPr>
            <w:r w:rsidRPr="005F1569">
              <w:rPr>
                <w:rFonts w:ascii="Times New Roman" w:eastAsia="Times New Roman" w:hAnsi="Times New Roman" w:cs="Times New Roman"/>
                <w:b/>
                <w:bCs/>
                <w:color w:val="000000"/>
                <w:sz w:val="20"/>
                <w:szCs w:val="20"/>
                <w:lang w:eastAsia="pt-BR"/>
              </w:rPr>
              <w:t>Eixo: Goiás Social</w:t>
            </w:r>
          </w:p>
        </w:tc>
      </w:tr>
      <w:tr w:rsidR="005F1569" w:rsidRPr="005F1569" w:rsidTr="005F1569">
        <w:trPr>
          <w:trHeight w:val="255"/>
        </w:trPr>
        <w:tc>
          <w:tcPr>
            <w:tcW w:w="15080" w:type="dxa"/>
            <w:gridSpan w:val="3"/>
            <w:tcBorders>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before="216" w:after="216"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b/>
                <w:bCs/>
                <w:color w:val="000000"/>
                <w:sz w:val="20"/>
                <w:szCs w:val="20"/>
                <w:lang w:eastAsia="pt-BR"/>
              </w:rPr>
              <w:t>Objetivo Estratégico: Proteção Social</w:t>
            </w:r>
          </w:p>
        </w:tc>
      </w:tr>
      <w:tr w:rsidR="005F1569" w:rsidRPr="005F1569" w:rsidTr="005F1569">
        <w:trPr>
          <w:trHeight w:val="255"/>
        </w:trPr>
        <w:tc>
          <w:tcPr>
            <w:tcW w:w="15080" w:type="dxa"/>
            <w:gridSpan w:val="3"/>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before="216" w:after="216"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b/>
                <w:bCs/>
                <w:color w:val="000000"/>
                <w:sz w:val="20"/>
                <w:szCs w:val="20"/>
                <w:lang w:eastAsia="pt-BR"/>
              </w:rPr>
              <w:t>Programa: 1032- Moradia como base da cidadania</w:t>
            </w:r>
          </w:p>
        </w:tc>
      </w:tr>
      <w:tr w:rsidR="005F1569" w:rsidRPr="005F1569" w:rsidTr="005F1569">
        <w:trPr>
          <w:trHeight w:val="255"/>
        </w:trPr>
        <w:tc>
          <w:tcPr>
            <w:tcW w:w="9700" w:type="dxa"/>
            <w:vMerge w:val="restart"/>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before="216" w:after="216"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b/>
                <w:bCs/>
                <w:color w:val="000000"/>
                <w:sz w:val="20"/>
                <w:szCs w:val="20"/>
                <w:lang w:eastAsia="pt-BR"/>
              </w:rPr>
              <w:t>Produto</w:t>
            </w:r>
          </w:p>
        </w:tc>
        <w:tc>
          <w:tcPr>
            <w:tcW w:w="190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before="216" w:after="216"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1º Trimestre/2026</w:t>
            </w:r>
          </w:p>
        </w:tc>
        <w:tc>
          <w:tcPr>
            <w:tcW w:w="348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before="216" w:after="216" w:line="240" w:lineRule="auto"/>
              <w:jc w:val="center"/>
              <w:rPr>
                <w:rFonts w:ascii="Times New Roman" w:eastAsia="Times New Roman" w:hAnsi="Times New Roman" w:cs="Times New Roman"/>
                <w:b/>
                <w:bCs/>
                <w:color w:val="000000"/>
                <w:sz w:val="20"/>
                <w:szCs w:val="20"/>
                <w:lang w:eastAsia="pt-BR"/>
              </w:rPr>
            </w:pPr>
            <w:r w:rsidRPr="005F1569">
              <w:rPr>
                <w:rFonts w:ascii="Times New Roman" w:eastAsia="Times New Roman" w:hAnsi="Times New Roman" w:cs="Times New Roman"/>
                <w:b/>
                <w:bCs/>
                <w:color w:val="000000"/>
                <w:sz w:val="20"/>
                <w:szCs w:val="20"/>
                <w:lang w:eastAsia="pt-BR"/>
              </w:rPr>
              <w:t> </w:t>
            </w:r>
          </w:p>
        </w:tc>
      </w:tr>
      <w:tr w:rsidR="005F1569" w:rsidRPr="005F1569" w:rsidTr="005F1569">
        <w:trPr>
          <w:trHeight w:val="2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1569" w:rsidRPr="005F1569" w:rsidRDefault="005F1569" w:rsidP="005F1569">
            <w:pPr>
              <w:spacing w:before="216" w:after="216" w:line="240" w:lineRule="auto"/>
              <w:rPr>
                <w:rFonts w:ascii="Times New Roman" w:eastAsia="Times New Roman" w:hAnsi="Times New Roman" w:cs="Times New Roman"/>
                <w:color w:val="000000"/>
                <w:sz w:val="20"/>
                <w:szCs w:val="20"/>
                <w:lang w:eastAsia="pt-BR"/>
              </w:rPr>
            </w:pPr>
          </w:p>
        </w:tc>
        <w:tc>
          <w:tcPr>
            <w:tcW w:w="190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before="216" w:after="216"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b/>
                <w:bCs/>
                <w:color w:val="000000"/>
                <w:sz w:val="20"/>
                <w:szCs w:val="20"/>
                <w:lang w:eastAsia="pt-BR"/>
              </w:rPr>
              <w:t>Resultados</w:t>
            </w:r>
          </w:p>
        </w:tc>
        <w:tc>
          <w:tcPr>
            <w:tcW w:w="348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before="216" w:after="216"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b/>
                <w:bCs/>
                <w:color w:val="000000"/>
                <w:sz w:val="20"/>
                <w:szCs w:val="20"/>
                <w:lang w:eastAsia="pt-BR"/>
              </w:rPr>
              <w:t>Observações</w:t>
            </w:r>
          </w:p>
        </w:tc>
      </w:tr>
      <w:tr w:rsidR="005F1569" w:rsidRPr="005F1569" w:rsidTr="005F1569">
        <w:trPr>
          <w:trHeight w:val="255"/>
        </w:trPr>
        <w:tc>
          <w:tcPr>
            <w:tcW w:w="348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20564 - PESSOA ATENDIDA COM ALUGUEL SOCIAL</w:t>
            </w:r>
          </w:p>
        </w:tc>
        <w:tc>
          <w:tcPr>
            <w:tcW w:w="190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6.167</w:t>
            </w:r>
          </w:p>
        </w:tc>
        <w:tc>
          <w:tcPr>
            <w:tcW w:w="348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Cartões Entregues</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20564 - PESSOA ATENDIDA COM ALUGUEL SOCIAL</w:t>
            </w:r>
          </w:p>
        </w:tc>
        <w:tc>
          <w:tcPr>
            <w:tcW w:w="190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25.832</w:t>
            </w:r>
          </w:p>
        </w:tc>
        <w:tc>
          <w:tcPr>
            <w:tcW w:w="348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Famílias Ativas</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20569 - CONSTRUÇÃO DE HABITAÇÃO DE INTERESSE SOCIAL</w:t>
            </w:r>
          </w:p>
        </w:tc>
        <w:tc>
          <w:tcPr>
            <w:tcW w:w="190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344</w:t>
            </w:r>
          </w:p>
        </w:tc>
        <w:tc>
          <w:tcPr>
            <w:tcW w:w="348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Unidades Concluídas</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20569 - CONSTRUÇÃO DE HABITAÇÃO DE INTERESSE SOCIAL</w:t>
            </w:r>
          </w:p>
        </w:tc>
        <w:tc>
          <w:tcPr>
            <w:tcW w:w="190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322</w:t>
            </w:r>
          </w:p>
        </w:tc>
        <w:tc>
          <w:tcPr>
            <w:tcW w:w="348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Unidades Entregues</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20533 - REGULARIZAÇÃO FUNDIÁRIA REGISTRADA</w:t>
            </w:r>
          </w:p>
        </w:tc>
        <w:tc>
          <w:tcPr>
            <w:tcW w:w="190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121</w:t>
            </w:r>
          </w:p>
        </w:tc>
        <w:tc>
          <w:tcPr>
            <w:tcW w:w="348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Imóveis Registrados</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20570 - REFORMA DE HABITAÇÃO DE INTERESSE SOCIAL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19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Unidades Concluídas</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8251 - UNIDADE HABITACIONAL CONSTRUÍDA</w:t>
            </w:r>
          </w:p>
        </w:tc>
        <w:tc>
          <w:tcPr>
            <w:tcW w:w="190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565</w:t>
            </w:r>
          </w:p>
        </w:tc>
        <w:tc>
          <w:tcPr>
            <w:tcW w:w="348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Unidades Entregues</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20547 - EQUIPAMENTOS COMUNITÁRIOS REFORMADOS/CONSTRUÍDOS</w:t>
            </w:r>
          </w:p>
        </w:tc>
        <w:tc>
          <w:tcPr>
            <w:tcW w:w="190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1</w:t>
            </w:r>
          </w:p>
        </w:tc>
        <w:tc>
          <w:tcPr>
            <w:tcW w:w="3480" w:type="dxa"/>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Concluídos</w:t>
            </w:r>
          </w:p>
        </w:tc>
      </w:tr>
      <w:tr w:rsidR="005F1569" w:rsidRPr="005F1569" w:rsidTr="005F1569">
        <w:trPr>
          <w:trHeight w:val="255"/>
        </w:trPr>
        <w:tc>
          <w:tcPr>
            <w:tcW w:w="0" w:type="auto"/>
            <w:tcBorders>
              <w:top w:val="single" w:sz="6" w:space="0" w:color="000000"/>
              <w:left w:val="single" w:sz="6" w:space="0" w:color="000000"/>
              <w:bottom w:val="nil"/>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20547 - EQUIPAMENTOS COMUNITÁRIOS REFORMADOS/CONSTRUÍDOS</w:t>
            </w:r>
          </w:p>
        </w:tc>
        <w:tc>
          <w:tcPr>
            <w:tcW w:w="1900" w:type="dxa"/>
            <w:tcBorders>
              <w:top w:val="single" w:sz="6" w:space="0" w:color="000000"/>
              <w:left w:val="single" w:sz="6" w:space="0" w:color="000000"/>
              <w:bottom w:val="nil"/>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1</w:t>
            </w:r>
          </w:p>
        </w:tc>
        <w:tc>
          <w:tcPr>
            <w:tcW w:w="3480" w:type="dxa"/>
            <w:tcBorders>
              <w:top w:val="single" w:sz="6" w:space="0" w:color="000000"/>
              <w:left w:val="single" w:sz="6" w:space="0" w:color="000000"/>
              <w:bottom w:val="nil"/>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jc w:val="center"/>
              <w:rPr>
                <w:rFonts w:ascii="Times New Roman" w:eastAsia="Times New Roman" w:hAnsi="Times New Roman" w:cs="Times New Roman"/>
                <w:color w:val="000000"/>
                <w:sz w:val="20"/>
                <w:szCs w:val="20"/>
                <w:lang w:eastAsia="pt-BR"/>
              </w:rPr>
            </w:pPr>
            <w:r w:rsidRPr="005F1569">
              <w:rPr>
                <w:rFonts w:ascii="Times New Roman" w:eastAsia="Times New Roman" w:hAnsi="Times New Roman" w:cs="Times New Roman"/>
                <w:color w:val="000000"/>
                <w:sz w:val="20"/>
                <w:szCs w:val="20"/>
                <w:lang w:eastAsia="pt-BR"/>
              </w:rPr>
              <w:t>Entregues</w:t>
            </w:r>
          </w:p>
        </w:tc>
      </w:tr>
    </w:tbl>
    <w:p w:rsidR="005F1569" w:rsidRPr="005F1569" w:rsidRDefault="005F1569" w:rsidP="005F1569">
      <w:pPr>
        <w:spacing w:before="120" w:after="120" w:line="240" w:lineRule="auto"/>
        <w:ind w:left="120" w:right="120" w:firstLine="1699"/>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3. ORÇAMENTO FISCAL E DA SEGURIDADE SOCIAL DO ESTADO DE GOIÁS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3.1. AGÊNCIA GOIANA DE HABITAÇÃO S/A, classificada como Empresa Estatal Dependente, conforme artigo 2º da Lei Federal nº 101 de 04 de maio de 2000, por receber Subvenção Econômica do governo do Estado de Goiás de acordo com a LEI ORDINÁRIA ESTADUAL Nº 20.733, DE 17 DE JANEIRO DE 2020. Assim, a partir do Exercício Social de 2021, integrante do Orçamento Fiscal e da Seguridade Social do Estado de Goiás.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3.2. Assim, os fatos financeiros, orçamentários e contábeis, baseia-se na Lei nº 24.019 de 6 de Janeiro de 2026 que estima a receita e fixa a despesa do Estado de Goiás para o Exercício de 2026.</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3.3. Das Fontes de Recursos Orçamentários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lastRenderedPageBreak/>
        <w:t>3.3.1</w:t>
      </w:r>
      <w:r w:rsidRPr="005F1569">
        <w:rPr>
          <w:rFonts w:ascii="Calibri" w:eastAsia="Times New Roman" w:hAnsi="Calibri" w:cs="Calibri"/>
          <w:b/>
          <w:bCs/>
          <w:color w:val="000000"/>
          <w:sz w:val="27"/>
          <w:szCs w:val="27"/>
          <w:lang w:eastAsia="pt-BR"/>
        </w:rPr>
        <w:t>. </w:t>
      </w:r>
      <w:r w:rsidRPr="005F1569">
        <w:rPr>
          <w:rFonts w:ascii="Calibri" w:eastAsia="Times New Roman" w:hAnsi="Calibri" w:cs="Calibri"/>
          <w:color w:val="000000"/>
          <w:sz w:val="27"/>
          <w:szCs w:val="27"/>
          <w:lang w:eastAsia="pt-BR"/>
        </w:rPr>
        <w:t>Recurso Arrecadado refere-se ao contrato prestação de serviço para gerir a Carteira Habitacional do Estado de Goiás e prestação de serviço registros documentais.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3.3.2. Recurso oriundo da Alienação de Bens Imóveis, comercializados para viabilizar programas habitacionais.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3.3.3. Subvenção governamental para custeio refere-se ao Recurso Ordinário do tesouro do Estado de Goiás recebido pela AGEHAB para pagamento das despesas com pessoal, custeio e de seus investimentos.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3.3.4. Subvenções Governamentais para às ações sociais de Programas Habitacionais: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3.3.4.1. Subvenção Governamental oriunda do Tesouro do Estado de Goiás para subsidiar programas de governo MORADIA COMO BASE DE CIDADANIA com às ações sociais de Construção e Reforma de Unidades Habitacionais, Regularização Fundiária e Aluguel Social conforme Lei Estadual nº 14.469, de 16 de julho de 2003 e suas alterações posteriores.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(i) Recurso do Fundo de Proteção Social do Estado de Goiás - PROTEGE GOIÁS.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(ii) Recurso Ordinário do Estado de Goiás.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3.3.4.2. Recursos financeiros com utilização de Orçamento Geral da União para Construção de Unidades Habitacionais e Equipamentos Comunitários, por meio de Termos de Compromissos e Convênios.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4. DEMONSTRAÇÕES FINANCEIRAS EM 31 DE MARÇO DE 2026</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4.1. Declaração de conformidade</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xml:space="preserve">4.1.1. As Demonstrações Financeiras apresentadas foram elaboradas de acordo com as práticas contábeis adotadas no Brasil, com observância às disposições da Lei nº 6.404/1976, às alterações introduzidas pela Lei nº 11.638/2007 e pela Lei nº 11.941/2009, à Lei das Estatais (Lei nº 13.303/2016, regulamentada pelo Decreto nº 8.945/2016), às Normas Brasileiras de Contabilidade Aplicadas ao Setor Público (NBC TSP) e às </w:t>
      </w:r>
      <w:r w:rsidRPr="005F1569">
        <w:rPr>
          <w:rFonts w:ascii="Calibri" w:eastAsia="Times New Roman" w:hAnsi="Calibri" w:cs="Calibri"/>
          <w:color w:val="000000"/>
          <w:sz w:val="27"/>
          <w:szCs w:val="27"/>
          <w:lang w:eastAsia="pt-BR"/>
        </w:rPr>
        <w:lastRenderedPageBreak/>
        <w:t>Normas Brasileiras de Contabilidade Técnica (NBC TG), as quais aprovaram os pronunciamentos emitidos pelo Comitê de Pronunciamentos Contábeis (CPC)</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4.1.2. A administração da empresa declara e confirma que todas as informações relevantes próprias e constantes nas Demonstrações Financeiras, estão sendo evidenciadas e que correspondem às informações utilizadas pela sua gestão.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4.1.3. A AGEHAB que, como entidade da Administração Pública Estadual Indireta, integrante do Balanço Geral do Estado de Goiás, nos termos da Lei  Lei nº 24.019 de 6 de Janeiro de 2026 que estima a receita e fixa a despesa do Estado de Goiás para o Exercício de 2026.</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Artigo 1º II – II – o Orçamento da Seguridade Social, com todos os órgãos e as entidades vinculados à seguridade social pertencentes aos Poderes Executivo, Judiciário e Legislativo, inclusive ao Tribunal de Contas do Estado de Goiás, ao Tribunal de Contas dos Municípios do Estado de Goiás, ao Ministério Público do Estado de Goiás, à Defensoria Pública do Estado de Goiás, aos seus fundos, às fundações e às empresas estatais dependentes.</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4.2. Moeda Funcional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4.2.1. A moeda funcional praticada pela AGEHAB é o Real (R$). Todos os valores de apresentação das Demonstrações Financeiras estão expressos em milhares de reais.</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4.3. Principais Práticas Contábeis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4.3.1. Revisão Práticas Contábeis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Através da</w:t>
      </w:r>
      <w:r w:rsidRPr="005F1569">
        <w:rPr>
          <w:rFonts w:ascii="Calibri" w:eastAsia="Times New Roman" w:hAnsi="Calibri" w:cs="Calibri"/>
          <w:b/>
          <w:bCs/>
          <w:color w:val="000000"/>
          <w:sz w:val="27"/>
          <w:szCs w:val="27"/>
          <w:lang w:eastAsia="pt-BR"/>
        </w:rPr>
        <w:t> </w:t>
      </w:r>
      <w:r w:rsidRPr="005F1569">
        <w:rPr>
          <w:rFonts w:ascii="Calibri" w:eastAsia="Times New Roman" w:hAnsi="Calibri" w:cs="Calibri"/>
          <w:color w:val="000000"/>
          <w:sz w:val="27"/>
          <w:szCs w:val="27"/>
          <w:lang w:eastAsia="pt-BR"/>
        </w:rPr>
        <w:t>Nota Técnica nº: 3/2025/AGEHAB/NFCT-20038 (</w:t>
      </w:r>
      <w:hyperlink r:id="rId5" w:tgtFrame="_blank" w:history="1">
        <w:r w:rsidRPr="005F1569">
          <w:rPr>
            <w:rFonts w:ascii="Calibri" w:eastAsia="Times New Roman" w:hAnsi="Calibri" w:cs="Calibri"/>
            <w:color w:val="0000FF"/>
            <w:sz w:val="27"/>
            <w:szCs w:val="27"/>
            <w:u w:val="single"/>
            <w:lang w:eastAsia="pt-BR"/>
          </w:rPr>
          <w:t>70236446</w:t>
        </w:r>
      </w:hyperlink>
      <w:r w:rsidRPr="005F1569">
        <w:rPr>
          <w:rFonts w:ascii="Calibri" w:eastAsia="Times New Roman" w:hAnsi="Calibri" w:cs="Calibri"/>
          <w:color w:val="000000"/>
          <w:sz w:val="27"/>
          <w:szCs w:val="27"/>
          <w:lang w:eastAsia="pt-BR"/>
        </w:rPr>
        <w:t xml:space="preserve">) Processo 202500031000850 foi implementado uma revisão nas práticas contábeis na Agência Goiana de Habitação S/A- AGEHAB com o objetivo aprimorar as características qualitativas fundamental e de melhoria das informações contábeis, (NBC TG Estrutura Conceitual), </w:t>
      </w:r>
      <w:r w:rsidRPr="005F1569">
        <w:rPr>
          <w:rFonts w:ascii="Calibri" w:eastAsia="Times New Roman" w:hAnsi="Calibri" w:cs="Calibri"/>
          <w:color w:val="000000"/>
          <w:sz w:val="27"/>
          <w:szCs w:val="27"/>
          <w:lang w:eastAsia="pt-BR"/>
        </w:rPr>
        <w:lastRenderedPageBreak/>
        <w:t>e de aumentar a transparência e a fidedignidade das informações, necessárias à compreensão da situação financeira da empresa para os administradores, acionistas, usuários e para a sociedade em geral.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 revisão das práticas contábeis aprimorou a apresentação das demonstrações financeiras a partir das seguintes normas contábeis: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(i) NBC TG – Estrutura Conceitual para Relatório Financeiro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(ii) NBC TG 03 (R3) - Demonstração dos Fluxos de Caixa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(iii) NBC TG 07 (R2) – Subvenção e Assistência Governamentais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(iv) NBC TG 09 (R1) - Demonstração do Valor Adicionado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(v) NBC TG 21 (R4) – Demonstração Intermediária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(vi) NBC TG 23 (R2) – Políticas Contábeis, Mudança de Estimativa e Retificação de Erro.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(vii) NBC TG 26 (R5) – Apresentação das Demonstrações Contábeis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(viii) NBC TG 47 – Receita de Contrato com Cliente</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4.3.2. Em especial, a revisão das práticas contábeis levou ao aperfeiçoamento da (i) nomenclatura das principais contas; (ii) composição da receita operacional bruta da AGEHAB sob o ponto de vista da contabilidade societária, à luz das Norma Brasileira de Contabilidade – NBC TG 47, CPC 47 (R21) divulgadas pelo Conselho Federal de Contabilidade baseadas nas normas de contabilidade internacionais (IFRS 15); e (iii) na forma de demonstrar a subvenção governamental.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xml:space="preserve">4.3.3. As principais alterações de nomenclaturas são: Das nomenclaturas das contas de Receita Ordinária – Orçamento do Estado de Goiás: Fonte 100 para Subvenção de Custeio - Recursos Tesouro Estadual, Subvenção para Investimento Termos de Compromissos União/CEF para Subvenção o Programa Habitacional - Recursos União, Subvenção para Investimento Estado de Goiás – PROTEGE 156 para Subvenção para Investimento Tesouro Estadual – Estado de Goiás, Serviço Aplicado - Termo de Compromisso - União/CEF, Serviço Aplicado - Governo do Estado de Goiás - Protege - Programas Finalísticos para Aplicação Programa Habitacional(Recursos Aplicados – União/Recursos Aplicados - Estado de Goiás) e Criação de grupo Outras Receitas não integrante do Grupo de Receita Bruta Operacional para contabilização específica das Subvenção de Custeio e </w:t>
      </w:r>
      <w:r w:rsidRPr="005F1569">
        <w:rPr>
          <w:rFonts w:ascii="Calibri" w:eastAsia="Times New Roman" w:hAnsi="Calibri" w:cs="Calibri"/>
          <w:color w:val="000000"/>
          <w:sz w:val="27"/>
          <w:szCs w:val="27"/>
          <w:lang w:eastAsia="pt-BR"/>
        </w:rPr>
        <w:lastRenderedPageBreak/>
        <w:t>Subvenção para execução das ações sociais do Programa Habitacional com recurso financeiro do Estado de Goiás e União.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4.3.2. Principais Práticas Contábeis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 Critérios de reconhecimento dos resultados – A entidade adota o regime de competência para registro de suas operações. A aplicação desse regime implica no reconhecimento dos ingressos, dispêndios e despesas quando ganhas ou incorridas, independentemente de seu efetivo recebimento ou pagamento;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b) Provisões para Férias e 13º Salário - É constituída com base nos direitos adquiridos pelos empregados públicos até a data do balanço e incluem os correspondentes encargos sociais. Suportado por relatórios;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c) Demais ativos e passivos – Circunscritos em período previsto de até 12 meses do exercício subsequente estão classificados como Curto Prazo Circulante, e os acima de 12 meses no Ativo e Passivo Não Circulante;</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d) Ativo Imobilizado – Os itens pertencentes ao Ativo Imobilizado estão registrados ao custo de aquisição. Os encargos de depreciação são reconhecidos pelo método linear e depreciados baseados nas depreciações fiscais e societárias;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e) Demais Passivos Circulantes – os demais passivos circulantes, são demonstrados pelos valores conhecidos ou calculáveis, acrescidos, quando aplicável, dos correspondentes encargos e variações monetárias;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f) Passivos Não Circulantes - Os passivos não circulantes são demonstrados pelos valores conhecidos ou calculáveis, acrescidos, quando aplicável, dos correspondentes encargos incorridos até 31 de Dezembro de 2025;</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g) Receitas e Despesas - As receitas e despesas são reconhecidas pelo regime de Competência. As apropriações das receitas e despesas foram registradas na data em que ocorreram o fato gerador;</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xml:space="preserve">h) Uso de estimativas – A preparação das Demonstrações Financeiras, incluem estimativas e premissas, com a mensuração de provisões para perdas com operações de crédito, estimativas de útil dos bens, provisão </w:t>
      </w:r>
      <w:r w:rsidRPr="005F1569">
        <w:rPr>
          <w:rFonts w:ascii="Calibri" w:eastAsia="Times New Roman" w:hAnsi="Calibri" w:cs="Calibri"/>
          <w:color w:val="000000"/>
          <w:sz w:val="27"/>
          <w:szCs w:val="27"/>
          <w:lang w:eastAsia="pt-BR"/>
        </w:rPr>
        <w:lastRenderedPageBreak/>
        <w:t>para contingências e outras provisões. Os resultados efetivos podem ser diferentes daquelas estimativas ou premissas;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i) Caixa e equivalentes de caixa – Para fins das Demonstrações Financeiras correspondem aos saldos de disponibilidade (Caixa sede e contas bancárias) e aplicações financeiras de liquidez imediata;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j) Contas a receber operacional – São reconhecidos pelo valor nominal contratual referente venda de loteamentos em períodos anteriores. Na geração de caixa pelo recebimento em atraso, os juros e correções são classificados como receita financeira. Estima-se que os saldos das contas a receber estejam próximos de seus valores justos de mercado;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k) Provisão para Devedores Duvidosos - Foram constituídas provisões para devedores duvidosos sobre os créditos vencidos acima de 180 dias, em atenção as normas contábeis a estes tipos e operações;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l) Despesas Antecipadas</w:t>
      </w:r>
      <w:r w:rsidRPr="005F1569">
        <w:rPr>
          <w:rFonts w:ascii="Calibri" w:eastAsia="Times New Roman" w:hAnsi="Calibri" w:cs="Calibri"/>
          <w:b/>
          <w:bCs/>
          <w:color w:val="000000"/>
          <w:sz w:val="27"/>
          <w:szCs w:val="27"/>
          <w:lang w:eastAsia="pt-BR"/>
        </w:rPr>
        <w:t> </w:t>
      </w:r>
      <w:r w:rsidRPr="005F1569">
        <w:rPr>
          <w:rFonts w:ascii="Calibri" w:eastAsia="Times New Roman" w:hAnsi="Calibri" w:cs="Calibri"/>
          <w:color w:val="000000"/>
          <w:sz w:val="27"/>
          <w:szCs w:val="27"/>
          <w:lang w:eastAsia="pt-BR"/>
        </w:rPr>
        <w:t>- objetivando uma proteção mais abrangente de seus bens, a AGEHAB contratou Seguro Predial conforme conforme </w:t>
      </w:r>
      <w:r w:rsidRPr="005F1569">
        <w:rPr>
          <w:rFonts w:ascii="Calibri" w:eastAsia="Times New Roman" w:hAnsi="Calibri" w:cs="Calibri"/>
          <w:color w:val="000000"/>
          <w:sz w:val="24"/>
          <w:szCs w:val="24"/>
          <w:lang w:eastAsia="pt-BR"/>
        </w:rPr>
        <w:t>Apólice Nº 0118.14.48.419-2</w:t>
      </w:r>
      <w:r w:rsidRPr="005F1569">
        <w:rPr>
          <w:rFonts w:ascii="Calibri" w:eastAsia="Times New Roman" w:hAnsi="Calibri" w:cs="Calibri"/>
          <w:color w:val="000000"/>
          <w:sz w:val="27"/>
          <w:szCs w:val="27"/>
          <w:lang w:eastAsia="pt-BR"/>
        </w:rPr>
        <w:t> </w:t>
      </w:r>
      <w:r w:rsidRPr="005F1569">
        <w:rPr>
          <w:rFonts w:ascii="Calibri" w:eastAsia="Times New Roman" w:hAnsi="Calibri" w:cs="Calibri"/>
          <w:color w:val="000000"/>
          <w:sz w:val="24"/>
          <w:szCs w:val="24"/>
          <w:lang w:eastAsia="pt-BR"/>
        </w:rPr>
        <w:t>período da vigência é </w:t>
      </w:r>
      <w:r w:rsidRPr="005F1569">
        <w:rPr>
          <w:rFonts w:ascii="Calibri" w:eastAsia="Times New Roman" w:hAnsi="Calibri" w:cs="Calibri"/>
          <w:b/>
          <w:bCs/>
          <w:color w:val="000000"/>
          <w:sz w:val="27"/>
          <w:szCs w:val="27"/>
          <w:lang w:eastAsia="pt-BR"/>
        </w:rPr>
        <w:t>06/05/2026 a 05/05/2027 </w:t>
      </w:r>
      <w:r w:rsidRPr="005F1569">
        <w:rPr>
          <w:rFonts w:ascii="Calibri" w:eastAsia="Times New Roman" w:hAnsi="Calibri" w:cs="Calibri"/>
          <w:color w:val="000000"/>
          <w:sz w:val="27"/>
          <w:szCs w:val="27"/>
          <w:lang w:eastAsia="pt-BR"/>
        </w:rPr>
        <w:t>processo 202500031009842.</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m) Demonstrações do fluxo de caixa</w:t>
      </w:r>
      <w:r w:rsidRPr="005F1569">
        <w:rPr>
          <w:rFonts w:ascii="Calibri" w:eastAsia="Times New Roman" w:hAnsi="Calibri" w:cs="Calibri"/>
          <w:b/>
          <w:bCs/>
          <w:color w:val="000000"/>
          <w:sz w:val="27"/>
          <w:szCs w:val="27"/>
          <w:lang w:eastAsia="pt-BR"/>
        </w:rPr>
        <w:t> </w:t>
      </w:r>
      <w:r w:rsidRPr="005F1569">
        <w:rPr>
          <w:rFonts w:ascii="Calibri" w:eastAsia="Times New Roman" w:hAnsi="Calibri" w:cs="Calibri"/>
          <w:color w:val="000000"/>
          <w:sz w:val="27"/>
          <w:szCs w:val="27"/>
          <w:lang w:eastAsia="pt-BR"/>
        </w:rPr>
        <w:t>- DFC – A Demonstração do Fluxo de Caixa foi elaborada em conformidade com a Resolução CFC nº1.152/2009, que aprovou a NBC TG 13 e também com a Resolução/CFC Nº 1.296/10, que aprovou a NBC T 03 DEMONSTRAÇÃO DO FLUXO DE CAIXA. O Método na elaboração do Fluxo de Caixa que a Entidade optou foi o INDIRETO;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n) Provisões para demandas judiciais – A AGEHAB é parte em vários processos legais, os quais incluem, entre outros, demandas relacionadas a processos trabalhistas, cíveis, fiscais. É constituído provisões referentes a processos judiciais classificados como Passivo Provável.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4.3.3. Política de Contabilidade Adotada para Subvenção Governamental da Agência Goiana de Habitação S/A, com detalhamento no item 23.2.2 desta Nota Explicativa.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4.3.3.1. Por meio do documento (</w:t>
      </w:r>
      <w:hyperlink r:id="rId6" w:tgtFrame="_blank" w:history="1">
        <w:r w:rsidRPr="005F1569">
          <w:rPr>
            <w:rFonts w:ascii="Calibri" w:eastAsia="Times New Roman" w:hAnsi="Calibri" w:cs="Calibri"/>
            <w:color w:val="0000FF"/>
            <w:sz w:val="27"/>
            <w:szCs w:val="27"/>
            <w:u w:val="single"/>
            <w:lang w:eastAsia="pt-BR"/>
          </w:rPr>
          <w:t>76228986</w:t>
        </w:r>
      </w:hyperlink>
      <w:r w:rsidRPr="005F1569">
        <w:rPr>
          <w:rFonts w:ascii="Calibri" w:eastAsia="Times New Roman" w:hAnsi="Calibri" w:cs="Calibri"/>
          <w:color w:val="000000"/>
          <w:sz w:val="27"/>
          <w:szCs w:val="27"/>
          <w:lang w:eastAsia="pt-BR"/>
        </w:rPr>
        <w:t>) processo 202500031000850 foi elaborado a Política de Contabilidade Adotada para Subvenção Governamental da Agência Goiana de Habitação S/A tendo como alcance:</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lastRenderedPageBreak/>
        <w:t>1. ALCANCE</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t>1.1. Esta política dever ser aplicada aos fatos contábeis relativos aos ingressos financeiros oriundos do tesouro do Estado de Goiás e outras entidades para manutenção dos Programas Habitacionais administrados pela Agência Goiana de Habitação S/A e manutenção da estrutura administrativa no âmbito da Contabilidade Societária.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4.3.3.2. Considerando análise da Procuradoria Jurídica através do PARECER JURÍDICO AGEHAB/PJ-11798 Nº 471/2025 (</w:t>
      </w:r>
      <w:hyperlink r:id="rId7" w:tgtFrame="_blank" w:history="1">
        <w:r w:rsidRPr="005F1569">
          <w:rPr>
            <w:rFonts w:ascii="Calibri" w:eastAsia="Times New Roman" w:hAnsi="Calibri" w:cs="Calibri"/>
            <w:color w:val="0000FF"/>
            <w:sz w:val="27"/>
            <w:szCs w:val="27"/>
            <w:u w:val="single"/>
            <w:lang w:eastAsia="pt-BR"/>
          </w:rPr>
          <w:t>76945575</w:t>
        </w:r>
      </w:hyperlink>
      <w:r w:rsidRPr="005F1569">
        <w:rPr>
          <w:rFonts w:ascii="Calibri" w:eastAsia="Times New Roman" w:hAnsi="Calibri" w:cs="Calibri"/>
          <w:color w:val="000000"/>
          <w:sz w:val="27"/>
          <w:szCs w:val="27"/>
          <w:lang w:eastAsia="pt-BR"/>
        </w:rPr>
        <w:t>) e  a aprovação por meio da Deliberação da Diretoria Executiva 225/2025 – AGEHAB (</w:t>
      </w:r>
      <w:hyperlink r:id="rId8" w:tgtFrame="_blank" w:history="1">
        <w:r w:rsidRPr="005F1569">
          <w:rPr>
            <w:rFonts w:ascii="Calibri" w:eastAsia="Times New Roman" w:hAnsi="Calibri" w:cs="Calibri"/>
            <w:color w:val="0000FF"/>
            <w:sz w:val="27"/>
            <w:szCs w:val="27"/>
            <w:u w:val="single"/>
            <w:lang w:eastAsia="pt-BR"/>
          </w:rPr>
          <w:t>78935494</w:t>
        </w:r>
      </w:hyperlink>
      <w:r w:rsidRPr="005F1569">
        <w:rPr>
          <w:rFonts w:ascii="Calibri" w:eastAsia="Times New Roman" w:hAnsi="Calibri" w:cs="Calibri"/>
          <w:color w:val="000000"/>
          <w:sz w:val="27"/>
          <w:szCs w:val="27"/>
          <w:lang w:eastAsia="pt-BR"/>
        </w:rPr>
        <w:t>) e Resolução 13/2025 (</w:t>
      </w:r>
      <w:hyperlink r:id="rId9" w:tgtFrame="_blank" w:history="1">
        <w:r w:rsidRPr="005F1569">
          <w:rPr>
            <w:rFonts w:ascii="Calibri" w:eastAsia="Times New Roman" w:hAnsi="Calibri" w:cs="Calibri"/>
            <w:color w:val="0000FF"/>
            <w:sz w:val="27"/>
            <w:szCs w:val="27"/>
            <w:u w:val="single"/>
            <w:lang w:eastAsia="pt-BR"/>
          </w:rPr>
          <w:t>82810561</w:t>
        </w:r>
      </w:hyperlink>
      <w:r w:rsidRPr="005F1569">
        <w:rPr>
          <w:rFonts w:ascii="Calibri" w:eastAsia="Times New Roman" w:hAnsi="Calibri" w:cs="Calibri"/>
          <w:color w:val="000000"/>
          <w:sz w:val="27"/>
          <w:szCs w:val="27"/>
          <w:lang w:eastAsia="pt-BR"/>
        </w:rPr>
        <w:t>).</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                                                                                                                                                                                                                            </w:t>
      </w:r>
    </w:p>
    <w:p w:rsidR="005F1569" w:rsidRPr="005F1569" w:rsidRDefault="005F1569" w:rsidP="005F1569">
      <w:pPr>
        <w:spacing w:before="100" w:beforeAutospacing="1" w:after="100" w:afterAutospacing="1" w:line="240" w:lineRule="auto"/>
        <w:jc w:val="both"/>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BALANÇO PATRIMONIAL (BP)  </w:t>
      </w:r>
    </w:p>
    <w:p w:rsidR="005F1569" w:rsidRPr="005F1569" w:rsidRDefault="005F1569" w:rsidP="005F1569">
      <w:pPr>
        <w:spacing w:before="100" w:beforeAutospacing="1" w:after="100" w:afterAutospacing="1" w:line="240" w:lineRule="auto"/>
        <w:jc w:val="both"/>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ATIVO</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ATIVO CIRCULANTE</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5. CAIXA, EQUIVALENTES DE CAIXA E APLICAÇÕES FINANCEIRAS,  totalizando R$ 166.785.344,76 (cento e sessenta e seis milhões, setecentos e oitenta e cinco mil trezentos e quarenta e quatro reais e setenta e seis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5.1. O Caixa, os Equivalentes de Caixa e as Aplicações Financeiras são compostos por contas bancárias de livre movimentação, pela Conta Única da unidade orçamentária da AGEHAB, por aplicações financeiras de liquidez imediata e por contas poupança, com expectativa de utilização pela Companhia no prazo de até 12 meses, estando sujeitos a risco insignificante de alteração de valor.</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xml:space="preserve">5.2. Em atendimento à Lei Complementar Estadual nº 121/2015 e ao princípio da unidade de tesouraria previsto no art. 56 da Lei Federal nº </w:t>
      </w:r>
      <w:r w:rsidRPr="005F1569">
        <w:rPr>
          <w:rFonts w:ascii="Calibri" w:eastAsia="Times New Roman" w:hAnsi="Calibri" w:cs="Calibri"/>
          <w:color w:val="000000"/>
          <w:sz w:val="27"/>
          <w:szCs w:val="27"/>
          <w:lang w:eastAsia="pt-BR"/>
        </w:rPr>
        <w:lastRenderedPageBreak/>
        <w:t>4.320/1964, a AGEHAB realizou, em março de 2022, a transferência dos saldos financeiros relativos aos recursos próprios, às subvenções governamentais de custeio, às subvenções destinadas à execução de programas habitacionais e aos recursos provenientes da alienação de imóveis para o Sistema da Conta Única do Tesouro Estadual, sob a coordenação da Secretaria de Estado da Economia, como instrumento de gerenciamento centralizado dos recursos financeiros do Estado..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5.3. As contas bancárias de titularidade da AGEHAB estão compostas conforme demonstrado a seguir:</w:t>
      </w:r>
    </w:p>
    <w:tbl>
      <w:tblPr>
        <w:tblW w:w="1053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385"/>
        <w:gridCol w:w="1757"/>
        <w:gridCol w:w="1757"/>
        <w:gridCol w:w="1638"/>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Caixa, Equivalentes de Caixa e Aplicações Financeiras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Caixa e Equivalentes de Caixa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844.987,17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990.511,46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480.140,48</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Conta Única do Tesouro Estadual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123.633.352,74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221.281.850,53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80.918.622,69</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124.478.339,91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222.272.361,99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81.398.763,17</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Aplicações Financeiras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42.307.004,85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54.040.954,16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12.040.589,61</w:t>
            </w:r>
          </w:p>
        </w:tc>
      </w:tr>
      <w:tr w:rsidR="005F1569" w:rsidRPr="005F1569" w:rsidTr="005F1569">
        <w:trPr>
          <w:trHeight w:val="36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166.785.344,76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276.313.316,15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93.439.352,78</w:t>
            </w:r>
          </w:p>
        </w:tc>
      </w:tr>
      <w:tr w:rsidR="005F1569" w:rsidRPr="005F1569" w:rsidTr="005F1569">
        <w:trPr>
          <w:trHeight w:val="36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6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Saldos Financeiros por Fonte Orçamentária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36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Recurso Arrecadado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2.788.016,84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1.830.917,23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1.221.658,06</w:t>
            </w:r>
          </w:p>
        </w:tc>
      </w:tr>
      <w:tr w:rsidR="005F1569" w:rsidRPr="005F1569" w:rsidTr="005F1569">
        <w:trPr>
          <w:trHeight w:val="36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Convênios Federais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5.917.728,61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6.021.613,71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5.293.229,21</w:t>
            </w:r>
          </w:p>
        </w:tc>
      </w:tr>
      <w:tr w:rsidR="005F1569" w:rsidRPr="005F1569" w:rsidTr="005F1569">
        <w:trPr>
          <w:trHeight w:val="36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Recurso Ordinário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1.390.878,47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7.542.246,90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5.737.264,75</w:t>
            </w:r>
          </w:p>
        </w:tc>
      </w:tr>
      <w:tr w:rsidR="005F1569" w:rsidRPr="005F1569" w:rsidTr="005F1569">
        <w:trPr>
          <w:trHeight w:val="36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Alienação de Imóveis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17.175.301,57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16.618.986,70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7.658.604,61</w:t>
            </w:r>
          </w:p>
        </w:tc>
      </w:tr>
      <w:tr w:rsidR="005F1569" w:rsidRPr="005F1569" w:rsidTr="005F1569">
        <w:trPr>
          <w:trHeight w:val="36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Protege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139.513.419,27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244.299.551,61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73.528.596,15</w:t>
            </w:r>
          </w:p>
        </w:tc>
      </w:tr>
      <w:tr w:rsidR="005F1569" w:rsidRPr="005F1569" w:rsidTr="005F1569">
        <w:trPr>
          <w:trHeight w:val="36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166.785.344,76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276.313.316,15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93.439.352,78</w:t>
            </w:r>
          </w:p>
        </w:tc>
      </w:tr>
    </w:tbl>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6. Contas a receber, totalizando R$ 404.388,57 (quatrocentos e quatro mil trezentos e oitenta e oito reais e cinquenta e sete centavos)</w:t>
      </w:r>
    </w:p>
    <w:tbl>
      <w:tblPr>
        <w:tblW w:w="10563"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630"/>
        <w:gridCol w:w="1311"/>
        <w:gridCol w:w="1311"/>
        <w:gridCol w:w="1311"/>
      </w:tblGrid>
      <w:tr w:rsidR="005F1569" w:rsidRPr="005F1569" w:rsidTr="005F1569">
        <w:trPr>
          <w:trHeight w:val="360"/>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Contas a Receber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36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Contas a Receber Operacionais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1.054.360,03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1.054.114,46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1.012.978,57</w:t>
            </w:r>
          </w:p>
        </w:tc>
      </w:tr>
      <w:tr w:rsidR="005F1569" w:rsidRPr="005F1569" w:rsidTr="005F1569">
        <w:trPr>
          <w:trHeight w:val="36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Prestações a receber Conjuntos e Loteamentos - Fonte Alienação de Bens (6.1)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670.359,27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670.193,70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628.857,81</w:t>
            </w:r>
          </w:p>
        </w:tc>
      </w:tr>
      <w:tr w:rsidR="005F1569" w:rsidRPr="005F1569" w:rsidTr="005F1569">
        <w:trPr>
          <w:trHeight w:val="36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Secretaria de Estado da Economia - Fonte Recurso Arrecadado (6.2)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383.920,76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383.920,76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384.120,76</w:t>
            </w:r>
          </w:p>
        </w:tc>
      </w:tr>
      <w:tr w:rsidR="005F1569" w:rsidRPr="005F1569" w:rsidTr="005F1569">
        <w:trPr>
          <w:trHeight w:val="36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Clientes Diversos - Fonte Recurso Arrecadado ( 6.3)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Provisão para Perdas com créditos de liquidação duvidosa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-649.971,46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-640.770,82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-610.678,26</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Perdas com créditos de Liquidação Duvidosa (6.4 )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-649.971,46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-640.770,82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-610.678,26</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404.388,57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413.343,64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402.300,31</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lastRenderedPageBreak/>
        <w:t>6.1. Refere-se às prestações a receber decorrentes da comercialização de unidades habitacionais localizadas nos Conjuntos Habitacionais Parque Atheneu, Acalanto, Vila Sol Dourado e Vera Cruz, conforme deliberação constante na Ata AGE nº 75ª, de 29/01/2010, reconhecidas contabilmente de acordo com o regime de competência.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 As amortizações das parcelas são calculadas pelo Sistema Francês de Amortização – Tabela Price, observando-se os critérios contratuais estabelecidos para apuração do saldo devedor e reconhecimento das receitas financeiras.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b) Os juros incidentes sobre as parcelas do preço são calculados sobre o saldo devedor à razão de 0,5% (zero vírgula cinco por cento) ao mês, sendo apropriados contabilmente pelo regime de competência.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b.1) A atualização monetária incidente sobre o saldo devedor é calculada mensalmente com base na Taxa Referencial (TR), ou outro índice que venha a substituí-la por determinação governamental, observando-se os critérios contratuais e normativos aplicáveis.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b.2) O saldo da dívida vencida é atualizado monetariamente até o efetivo pagamento, acrescido de encargos financeiros e ônus adicionais à taxa vigente na data da liquidação, conforme regulamentação do Banco Central do Brasil – BACEN, incluindo juros contratuais variando entre 5% e 6% ao ano, conforme previsão contratual aplicável.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Conforme nota explicativa 12.1.</w:t>
      </w:r>
    </w:p>
    <w:tbl>
      <w:tblPr>
        <w:tblW w:w="8668"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212"/>
        <w:gridCol w:w="1456"/>
      </w:tblGrid>
      <w:tr w:rsidR="005F1569" w:rsidRPr="005F1569" w:rsidTr="005F1569">
        <w:trPr>
          <w:trHeight w:val="255"/>
          <w:tblHeader/>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Contas a Receber</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Prestações a Receber Conjuntos e Loteamentos (Ativo Circulante)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670.359,27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Prestações a Receber Conjuntos e Loteamentos (Ativo Longo Prazo)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51.327,44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721.686,71</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6.2. Refere-se ao Contrato de Prestação de Serviços de Gestão da Carteira Habitacional do Estado de Goiás, correspondente à Nota Fiscal nº 179, emitida em 30/03/2026 para a Secretaria de Estado da Economia, no valor líquido de R$ 383.920,76 (trezentos e oitenta e três mil novecentos e vinte reais e setenta e seis centavos), cujo recebimento ocorreu em 07/04/2026, por meio da Ordem de Pagamento nº 2025.1704.008.00001.009, conforme documentação constante no processo nº 202400004105429, documento nº </w:t>
      </w:r>
      <w:hyperlink r:id="rId10" w:tgtFrame="_blank" w:history="1">
        <w:r w:rsidRPr="005F1569">
          <w:rPr>
            <w:rFonts w:ascii="Calibri" w:eastAsia="Times New Roman" w:hAnsi="Calibri" w:cs="Calibri"/>
            <w:color w:val="0000FF"/>
            <w:sz w:val="27"/>
            <w:szCs w:val="27"/>
            <w:u w:val="single"/>
            <w:lang w:eastAsia="pt-BR"/>
          </w:rPr>
          <w:t>88941864</w:t>
        </w:r>
      </w:hyperlink>
      <w:r w:rsidRPr="005F1569">
        <w:rPr>
          <w:rFonts w:ascii="Calibri" w:eastAsia="Times New Roman" w:hAnsi="Calibri" w:cs="Calibri"/>
          <w:color w:val="000000"/>
          <w:sz w:val="27"/>
          <w:szCs w:val="27"/>
          <w:lang w:eastAsia="pt-BR"/>
        </w:rPr>
        <w:t>.</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lastRenderedPageBreak/>
        <w:t>6.3. Refere-se a nota fiscal n.180 emitida em 31/03/2026 no valor de R$ 80,00 (oitenta reais) recebido em 01/04/2026 referente taxa para liberação de hipoteca do contrato n.521946-9.</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6.4. A provisão para perdas com créditos de liquidação duvidosa é constituída com base na análise da expectativa de recuperação dos créditos vencidos, considerando, adicionalmente, os critérios fiscais aplicáveis aos títulos vencidos há mais de 180 dias.</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Saldo em 31/12/2025 = R$ 640.770,82</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Provisões realizadas = R$ 9.400,59</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Reversões de Provisões = R$ 199,95</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Saldo em 31/03/2026 = R$ 649.971,46</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firstLine="1699"/>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7. Adiantamentos Concedidos a Obras Administradas, totalizando R$ 7.644.273,87 (sete milhões, seiscentos e quarenta e quatro mil duzentos e setenta e três reais e oitenta e sete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7.1. Os adiantamentos concedidos às obras administradas decorrem de repasses efetuados com recursos próprios da AGEHAB para contas correntes vinculadas às obras executadas por meio de convênios com a CEF/FGTS e obras diretas, destinados à cobertura de despesas com serviços, aquisição de materiais, folha de pagamento, tributos e demais custos aplicados na construção de unidades habitacionais.</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261"/>
        <w:gridCol w:w="2153"/>
        <w:gridCol w:w="2153"/>
        <w:gridCol w:w="2153"/>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Adiantamentos Concedidos a Obras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João Paulo II - 2ª Etapa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7.418.857,36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7.418.857,36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7.418.857,36</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Real Conquista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225.416,51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225.416,51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225.416,51</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Damianópolis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929.214,59</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7.644.273,87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7.644.273,87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8.573.488,46</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xml:space="preserve">7.2. Os valores contabilizados em Adiantamento de Obras decorrem da utilização de recursos próprios da AGEHAB, oriundos de integralização de capital realizada em exercícios anteriores, destinados ao pagamento </w:t>
      </w:r>
      <w:r w:rsidRPr="005F1569">
        <w:rPr>
          <w:rFonts w:ascii="Calibri" w:eastAsia="Times New Roman" w:hAnsi="Calibri" w:cs="Calibri"/>
          <w:color w:val="000000"/>
          <w:sz w:val="27"/>
          <w:szCs w:val="27"/>
          <w:lang w:eastAsia="pt-BR"/>
        </w:rPr>
        <w:lastRenderedPageBreak/>
        <w:t>de medições das obras habitacionais, com a finalidade de evitar paralisações e atrasos na execução física dos empreendimentos até a efetiva liberação dos recursos vinculados ao FGTS.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7.3. Conforme previsto nos Termos de Cooperação e Parceria celebrados com a CAIXA, especificamente na cláusula terceira – Dos Recursos, os valores empregados na consecução do objeto contratual são provenientes de linhas de financiamento com recursos do FGTS – Fundo de Garantia do Tempo de Serviço, bem como de recursos próprios da Entidade Organizadora, a título de contrapartida, representados por aportes financeiros, bens e/ou serviços destinados à produção das unidades habitacionais.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7.4. Nesse contexto, a AGEHAB possui previsão legal e contratual para utilização de recursos próprios no custeio complementar das obras habitacionais, especialmente para garantir a continuidade e conclusão dos empreendimentos. Após o encerramento definitivo das obras e das respectivas contas correntes vinculadas, são realizadas as devidas compensações entre eventuais saldos financeiros remanescentes e os valores registrados contabilmente em adiantamentos de obras.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7.5. No exercício social de 2025 ocorreu o encerramento documental referente à construção de 50 (cinquenta) unidades habitacionais no Município de Damianópolis/Goiás, vinculadas ao Processo nº 202200031001603.</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8.1. Antecipações a Empregados, totalizando R$ 611.864,14 (seiscentos e onze mil oitocentos e sessenta e quatro reais e quatorze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8.1. Refere-se aos pagamentos realizados até 31/03/2026 relativos à antecipação de férias e ao adiantamento da parcela do 13º salário, efetuado na data de aniversário do empregado ou mediante solicitação, conforme previsto na legislação trabalhista vigente, cujos respectivos descontos ocorrerão em períodos subsequentes, permanecendo devidamente controlados e conciliados pela entidade.</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823"/>
        <w:gridCol w:w="2299"/>
        <w:gridCol w:w="2299"/>
        <w:gridCol w:w="2299"/>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Antecipações a Empregados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Férias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156.298,49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437.076,33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129.951,88</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lastRenderedPageBreak/>
              <w:t>13º Salário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455.565,65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427.319,68</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611.864,14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437.076,33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557.271,56</w:t>
            </w:r>
          </w:p>
        </w:tc>
      </w:tr>
    </w:tbl>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caps/>
          <w:color w:val="000000"/>
          <w:sz w:val="26"/>
          <w:szCs w:val="26"/>
          <w:lang w:eastAsia="pt-BR"/>
        </w:rPr>
      </w:pPr>
      <w:r w:rsidRPr="005F1569">
        <w:rPr>
          <w:rFonts w:ascii="Calibri" w:eastAsia="Times New Roman" w:hAnsi="Calibri" w:cs="Calibri"/>
          <w:b/>
          <w:bCs/>
          <w:caps/>
          <w:color w:val="000000"/>
          <w:sz w:val="26"/>
          <w:szCs w:val="26"/>
          <w:lang w:eastAsia="pt-BR"/>
        </w:rPr>
        <w:t>nota 8.2. ADIANTAMENTO A TERCEIROS, TOTALIZANDO R$ 503.405,46 (quinhentos e três mil quatrocentos e cinco reais e quarenta e seis centavos)</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8.2. Refere-se a valor adiantado ao fornecedor Pluxee Benefícios Brasil S/A para viabilizar a liberação dos créditos de vale-refeição e vale-alimentação aos servidores, cuja compensação ocorreu em 01/04/2026, mediante emissão da Nota Fiscal nº 07526484.</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24"/>
        <w:gridCol w:w="2332"/>
        <w:gridCol w:w="2332"/>
        <w:gridCol w:w="2332"/>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Adiantamento a Terceiros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Pluxee Benefícios Brasil S/A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503.405,46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503.405,46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0,00</w:t>
            </w:r>
          </w:p>
        </w:tc>
      </w:tr>
    </w:tbl>
    <w:p w:rsidR="005F1569" w:rsidRPr="005F1569" w:rsidRDefault="005F1569" w:rsidP="005F1569">
      <w:pPr>
        <w:spacing w:before="120" w:after="120" w:line="240" w:lineRule="auto"/>
        <w:ind w:left="120" w:right="120" w:firstLine="1699"/>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9. Tributos a Recuperar, totalizando R$ 110.023,48 (cento e dez mil e vinte e três reais e quarenta e oito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9.1. Refere-se ao Imposto de Renda Retido na Fonte incidente sobre os rendimentos financeiros das contas poupança e aplicações financeiras de titularidade da Agência Goiana de Habitação S/A, bem como ao Imposto de Renda Retido sobre as notas fiscais emitidas para a Secretaria de Estado da Economia, decorrentes da prestação de serviços de administração da Carteira Imobiliária do Estado de Goiás.</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576"/>
        <w:gridCol w:w="2048"/>
        <w:gridCol w:w="2048"/>
        <w:gridCol w:w="2048"/>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Tributos a Recuperar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IRRF Sobre Rendimentos Aplicados (a)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48.732,37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261.070,60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17.991,01</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IRRF Sobre Serviço Prestados (b)</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61.291,11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241.751,26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57.877,93</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110.023,48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502.821,86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75.868,94</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 Refere-se Imposto de Renda Retido na Fonte (IRRF) sobre os rendimentos financeiros de valores aplicados por fonte orçamentária.</w:t>
      </w:r>
    </w:p>
    <w:tbl>
      <w:tblPr>
        <w:tblW w:w="8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342"/>
        <w:gridCol w:w="2378"/>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IRRF sobre Rendimentos Financeiros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Valor</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Fonte Alienação de Imóveis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33.289,99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Fonte Convênios Federais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15.442,38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48.732,37</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lastRenderedPageBreak/>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b) Refere-se ao Imposto de Renda Retido na Fonte (IRRF) sobre Serviço Prestado da gestão da Carteira Habitacional do Estado de Goiás.</w:t>
      </w:r>
    </w:p>
    <w:tbl>
      <w:tblPr>
        <w:tblW w:w="1088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71"/>
        <w:gridCol w:w="4558"/>
        <w:gridCol w:w="2951"/>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Data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Documento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Valor</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29/01/2026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Nota Fiscal n.120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20.430,37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27/02/2026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Nota Fiscal n.154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20.430,37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30/03/2026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Nota Fiscal n.179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20.430,37</w:t>
            </w:r>
          </w:p>
        </w:tc>
      </w:tr>
      <w:tr w:rsidR="005F1569" w:rsidRPr="005F1569" w:rsidTr="005F1569">
        <w:trPr>
          <w:trHeight w:val="255"/>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61.291,11</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c) Os valores de Imposto Renda Retido na Fonte serão objeto de solicitação de restituição junto à Receita Federal do Brasil.</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10. Despesas Antecipadas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10.1. A AGEHAB contratou Seguro Predial conforme conforme </w:t>
      </w:r>
      <w:r w:rsidRPr="005F1569">
        <w:rPr>
          <w:rFonts w:ascii="Calibri" w:eastAsia="Times New Roman" w:hAnsi="Calibri" w:cs="Calibri"/>
          <w:color w:val="000000"/>
          <w:sz w:val="24"/>
          <w:szCs w:val="24"/>
          <w:lang w:eastAsia="pt-BR"/>
        </w:rPr>
        <w:t>Apólice Nº 0118.14.48.419-2</w:t>
      </w:r>
      <w:r w:rsidRPr="005F1569">
        <w:rPr>
          <w:rFonts w:ascii="Calibri" w:eastAsia="Times New Roman" w:hAnsi="Calibri" w:cs="Calibri"/>
          <w:color w:val="000000"/>
          <w:sz w:val="27"/>
          <w:szCs w:val="27"/>
          <w:lang w:eastAsia="pt-BR"/>
        </w:rPr>
        <w:t> </w:t>
      </w:r>
      <w:r w:rsidRPr="005F1569">
        <w:rPr>
          <w:rFonts w:ascii="Calibri" w:eastAsia="Times New Roman" w:hAnsi="Calibri" w:cs="Calibri"/>
          <w:color w:val="000000"/>
          <w:sz w:val="24"/>
          <w:szCs w:val="24"/>
          <w:lang w:eastAsia="pt-BR"/>
        </w:rPr>
        <w:t>período da vigência é </w:t>
      </w:r>
      <w:r w:rsidRPr="005F1569">
        <w:rPr>
          <w:rFonts w:ascii="Calibri" w:eastAsia="Times New Roman" w:hAnsi="Calibri" w:cs="Calibri"/>
          <w:color w:val="000000"/>
          <w:sz w:val="27"/>
          <w:szCs w:val="27"/>
          <w:lang w:eastAsia="pt-BR"/>
        </w:rPr>
        <w:t>06/05/2026 a 05/05/2027</w:t>
      </w:r>
      <w:r w:rsidRPr="005F1569">
        <w:rPr>
          <w:rFonts w:ascii="Calibri" w:eastAsia="Times New Roman" w:hAnsi="Calibri" w:cs="Calibri"/>
          <w:b/>
          <w:bCs/>
          <w:color w:val="000000"/>
          <w:sz w:val="27"/>
          <w:szCs w:val="27"/>
          <w:lang w:eastAsia="pt-BR"/>
        </w:rPr>
        <w:t> </w:t>
      </w:r>
      <w:r w:rsidRPr="005F1569">
        <w:rPr>
          <w:rFonts w:ascii="Calibri" w:eastAsia="Times New Roman" w:hAnsi="Calibri" w:cs="Calibri"/>
          <w:color w:val="000000"/>
          <w:sz w:val="27"/>
          <w:szCs w:val="27"/>
          <w:lang w:eastAsia="pt-BR"/>
        </w:rPr>
        <w:t>processo 202500031009842, tendo como objeto a p</w:t>
      </w:r>
      <w:r w:rsidRPr="005F1569">
        <w:rPr>
          <w:rFonts w:ascii="Calibri" w:eastAsia="Times New Roman" w:hAnsi="Calibri" w:cs="Calibri"/>
          <w:color w:val="000000"/>
          <w:sz w:val="24"/>
          <w:szCs w:val="24"/>
          <w:lang w:eastAsia="pt-BR"/>
        </w:rPr>
        <w:t>restação de serviço de Seguro Incêndio Empresarial para cobertura dos bens móveis e imóveis da Agência Goiana de Habitação - AGEHAB, contra riscos de incêndio, queda de raio, explosão e riscos diversos (danos elétricos, quebra de vidros e vendaval), e os decorrentes de roubo de bens ou furto qualificado, e responsabilidade civil.</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616"/>
        <w:gridCol w:w="2368"/>
        <w:gridCol w:w="2368"/>
        <w:gridCol w:w="2368"/>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Despesas Antecipadas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Seguro Predial a Apropriar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6.378,87</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6.378,87</w:t>
            </w:r>
          </w:p>
        </w:tc>
      </w:tr>
    </w:tbl>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11. Estoque de bens do Almoxarifado, totalizando R$ 134.950,05 (cento e trinta e quatro mil novecentos e cinquenta reais e cinco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11.1. Referem-se aos estoques de materiais de escritório, materiais de limpeza, materiais de tecnologia da informação, materiais de copa e cozinha e gêneros alimentícios, destinados à manutenção das atividades operacionais da Companhia, avaliados pelo custo médio de aquisição.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11.2. O inventário físico dos bens armazenados no almoxarifado foi realizado em 18/12/2025 pela Comissão de Inventário de Bens do Almoxa</w:t>
      </w:r>
      <w:r w:rsidRPr="005F1569">
        <w:rPr>
          <w:rFonts w:ascii="Calibri" w:eastAsia="Times New Roman" w:hAnsi="Calibri" w:cs="Calibri"/>
          <w:color w:val="000000"/>
          <w:sz w:val="27"/>
          <w:szCs w:val="27"/>
          <w:lang w:eastAsia="pt-BR"/>
        </w:rPr>
        <w:lastRenderedPageBreak/>
        <w:t>rifado, conforme documento nº </w:t>
      </w:r>
      <w:hyperlink r:id="rId11" w:tgtFrame="_blank" w:history="1">
        <w:r w:rsidRPr="005F1569">
          <w:rPr>
            <w:rFonts w:ascii="Calibri" w:eastAsia="Times New Roman" w:hAnsi="Calibri" w:cs="Calibri"/>
            <w:color w:val="0000FF"/>
            <w:sz w:val="27"/>
            <w:szCs w:val="27"/>
            <w:u w:val="single"/>
            <w:lang w:eastAsia="pt-BR"/>
          </w:rPr>
          <w:t>83578851</w:t>
        </w:r>
      </w:hyperlink>
      <w:r w:rsidRPr="005F1569">
        <w:rPr>
          <w:rFonts w:ascii="Calibri" w:eastAsia="Times New Roman" w:hAnsi="Calibri" w:cs="Calibri"/>
          <w:color w:val="000000"/>
          <w:sz w:val="27"/>
          <w:szCs w:val="27"/>
          <w:lang w:eastAsia="pt-BR"/>
        </w:rPr>
        <w:t>, instituída por meio da Deliberação da Diretoria Executiva nº 271/2025 – AGEHAB, constante no Processo nº 202500031009428.</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11.3. Não foi constituída provisão para perdas sobre os estoques, considerando que os itens possuem baixo valor unitário, elevada rotatividade e inexistência de indícios de obsolescência ou perda relevante de valor.</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312"/>
        <w:gridCol w:w="2136"/>
        <w:gridCol w:w="2136"/>
        <w:gridCol w:w="2136"/>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Estoque de Bens do Almoxarifado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Almoxarifado - sede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134.950,05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96.078,88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93.959,27</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134.950,05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96.078,88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93.959,27</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tbl>
      <w:tblPr>
        <w:tblW w:w="756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915"/>
        <w:gridCol w:w="1652"/>
      </w:tblGrid>
      <w:tr w:rsidR="005F1569" w:rsidRPr="005F1569" w:rsidTr="005F1569">
        <w:trPr>
          <w:trHeight w:val="255"/>
          <w:tblHeader/>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Material de Limpeza e Produtos de Higienização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42.762,30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Material para cozinha, refeitórios e afins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6.811,19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Gêneros Alimentícios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43.451,29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Material de Expediente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41.925,27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134.950,05</w:t>
            </w:r>
          </w:p>
        </w:tc>
      </w:tr>
    </w:tbl>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ATIVO NÃO-CIRCULANTE</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12. Realizável a Longo Prazo</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w:t>
      </w:r>
    </w:p>
    <w:p w:rsidR="005F1569" w:rsidRPr="005F1569" w:rsidRDefault="005F1569" w:rsidP="005F1569">
      <w:pPr>
        <w:spacing w:before="100" w:beforeAutospacing="1" w:after="100" w:afterAutospacing="1" w:line="240" w:lineRule="auto"/>
        <w:jc w:val="both"/>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nota 12.1. Contas a Receber a Longo Prazo - Devedores por Vendas Compromissadas, totalizando R$ 51.327,44 (cinquenta e um mil trezentos e vinte e sete reais e quarenta e quatro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12.1.1.  Refere-se às prestações a receber decorrentes da comercialização de unidades habitacionais localizadas nos Conjuntos Habitacionais Parque Atheneu, Acalanto, Vila Sol Dourado e Vera Cruz, conforme deliberação constante na Ata AGE nº 75ª, de 29/01/2010, reconhecidas contabilmente de acordo com o regime de competência. classificados no Ativo Não Circulante – Realizável a Longo Prazo.</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478"/>
        <w:gridCol w:w="1414"/>
        <w:gridCol w:w="1414"/>
        <w:gridCol w:w="1414"/>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Contas a Receber - Devedores por Vendas Compromissadas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Prestações a receber Conjuntos e Loteamentos - Fonte Alienação de Bens (a)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51.327,44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51.327,44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91.991,72</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51.327,44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51.327,44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91.991,72</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lastRenderedPageBreak/>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Conforme nota explicativa nº 06</w:t>
      </w:r>
    </w:p>
    <w:tbl>
      <w:tblPr>
        <w:tblW w:w="8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256"/>
        <w:gridCol w:w="1464"/>
      </w:tblGrid>
      <w:tr w:rsidR="005F1569" w:rsidRPr="005F1569" w:rsidTr="005F1569">
        <w:trPr>
          <w:trHeight w:val="255"/>
          <w:tblHeader/>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Contas a Receber</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Prestações a Receber Conjuntos e Loteamentos (Ativo Circulante)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670.359,27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Prestações a Receber Conjuntos e Loteamentos (Ativo Longo Prazo)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51.327,44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721.686,71</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12.2. Devedores por Créditos Repassados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12.2.1. Crédito com a Prefeitura de Anápolis atualizados pelo índice UPC (Unidade Padrão de Capital), refere-se aos valores repassados para construção de infraestrutura de conjunto habitacional Vila Formosa no município de Anápolis, contrato renegociado em 19/01/1973. </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533"/>
        <w:gridCol w:w="1665"/>
        <w:gridCol w:w="1665"/>
        <w:gridCol w:w="1857"/>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Devedores por Créditos Repassados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Infra Estrutura de Conjuntos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6.862.253,88</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Provisão para perdas de Crédito de Liquidação Duvidosa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-6.862.253,88</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0,00</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 Considerando o DESPACHO Nº 764/2025/AGEHAB/PJ-11798(</w:t>
      </w:r>
      <w:hyperlink r:id="rId12" w:tgtFrame="_blank" w:history="1">
        <w:r w:rsidRPr="005F1569">
          <w:rPr>
            <w:rFonts w:ascii="Calibri" w:eastAsia="Times New Roman" w:hAnsi="Calibri" w:cs="Calibri"/>
            <w:color w:val="0000FF"/>
            <w:sz w:val="27"/>
            <w:szCs w:val="27"/>
            <w:u w:val="single"/>
            <w:lang w:eastAsia="pt-BR"/>
          </w:rPr>
          <w:t>83228392</w:t>
        </w:r>
      </w:hyperlink>
      <w:r w:rsidRPr="005F1569">
        <w:rPr>
          <w:rFonts w:ascii="Calibri" w:eastAsia="Times New Roman" w:hAnsi="Calibri" w:cs="Calibri"/>
          <w:color w:val="000000"/>
          <w:sz w:val="27"/>
          <w:szCs w:val="27"/>
          <w:lang w:eastAsia="pt-BR"/>
        </w:rPr>
        <w:t>) e Sentença Judicial (</w:t>
      </w:r>
      <w:hyperlink r:id="rId13" w:tgtFrame="_blank" w:history="1">
        <w:r w:rsidRPr="005F1569">
          <w:rPr>
            <w:rFonts w:ascii="Calibri" w:eastAsia="Times New Roman" w:hAnsi="Calibri" w:cs="Calibri"/>
            <w:color w:val="0000FF"/>
            <w:sz w:val="27"/>
            <w:szCs w:val="27"/>
            <w:u w:val="single"/>
            <w:lang w:eastAsia="pt-BR"/>
          </w:rPr>
          <w:t>83065154</w:t>
        </w:r>
      </w:hyperlink>
      <w:r w:rsidRPr="005F1569">
        <w:rPr>
          <w:rFonts w:ascii="Calibri" w:eastAsia="Times New Roman" w:hAnsi="Calibri" w:cs="Calibri"/>
          <w:color w:val="000000"/>
          <w:sz w:val="27"/>
          <w:szCs w:val="27"/>
          <w:lang w:eastAsia="pt-BR"/>
        </w:rPr>
        <w:t>), processo 202100031000578.</w:t>
      </w:r>
    </w:p>
    <w:p w:rsidR="005F1569" w:rsidRPr="005F1569" w:rsidRDefault="005F1569" w:rsidP="005F1569">
      <w:pPr>
        <w:spacing w:after="0" w:line="240" w:lineRule="auto"/>
        <w:ind w:left="60" w:right="60"/>
        <w:jc w:val="both"/>
        <w:rPr>
          <w:rFonts w:ascii="Calibri" w:eastAsia="Times New Roman" w:hAnsi="Calibri" w:cs="Calibri"/>
          <w:color w:val="000000"/>
          <w:lang w:eastAsia="pt-BR"/>
        </w:rPr>
      </w:pPr>
      <w:r w:rsidRPr="005F1569">
        <w:rPr>
          <w:rFonts w:ascii="Calibri" w:eastAsia="Times New Roman" w:hAnsi="Calibri" w:cs="Calibri"/>
          <w:color w:val="000000"/>
          <w:sz w:val="24"/>
          <w:szCs w:val="24"/>
          <w:lang w:eastAsia="pt-BR"/>
        </w:rPr>
        <w:t>Ocorre que, proposta a ação, o Município de Anápolis ingressou com Embargos a Execução. No julgamento dos Embargos, o débito foi considerado prescrito e, mesmo após a interposição dos recursos cabíveis pela Procuradoria Jurídica da AGEHAB, a sentença foi mantida (ID </w:t>
      </w:r>
      <w:hyperlink r:id="rId14" w:tgtFrame="_blank" w:history="1">
        <w:r w:rsidRPr="005F1569">
          <w:rPr>
            <w:rFonts w:ascii="Calibri" w:eastAsia="Times New Roman" w:hAnsi="Calibri" w:cs="Calibri"/>
            <w:color w:val="0000FF"/>
            <w:u w:val="single"/>
            <w:lang w:eastAsia="pt-BR"/>
          </w:rPr>
          <w:t>83065154</w:t>
        </w:r>
      </w:hyperlink>
      <w:r w:rsidRPr="005F1569">
        <w:rPr>
          <w:rFonts w:ascii="Calibri" w:eastAsia="Times New Roman" w:hAnsi="Calibri" w:cs="Calibri"/>
          <w:color w:val="000000"/>
          <w:sz w:val="24"/>
          <w:szCs w:val="24"/>
          <w:lang w:eastAsia="pt-BR"/>
        </w:rPr>
        <w:t>), e o reconhecimento da prescrição transitou em julgado.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b) Nota Explicativa Nº 26 / 2025 AGEHAB/NFCT-20038 (</w:t>
      </w:r>
      <w:hyperlink r:id="rId15" w:tgtFrame="_blank" w:history="1">
        <w:r w:rsidRPr="005F1569">
          <w:rPr>
            <w:rFonts w:ascii="Calibri" w:eastAsia="Times New Roman" w:hAnsi="Calibri" w:cs="Calibri"/>
            <w:color w:val="0000FF"/>
            <w:sz w:val="27"/>
            <w:szCs w:val="27"/>
            <w:u w:val="single"/>
            <w:lang w:eastAsia="pt-BR"/>
          </w:rPr>
          <w:t>83761199</w:t>
        </w:r>
      </w:hyperlink>
      <w:r w:rsidRPr="005F1569">
        <w:rPr>
          <w:rFonts w:ascii="Calibri" w:eastAsia="Times New Roman" w:hAnsi="Calibri" w:cs="Calibri"/>
          <w:color w:val="000000"/>
          <w:sz w:val="27"/>
          <w:szCs w:val="27"/>
          <w:lang w:eastAsia="pt-BR"/>
        </w:rPr>
        <w:t>)</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xml:space="preserve">Diante do exposto, no dia 27 de Novembro de 2025 (data da assinatura da sentença judicial) foi realizado o reconhecimento contábil da prescrição dos valores contabilizados referente à dívida da Prefeitura de Anápolis com a AGEHAB no montante de R$ 6.862.253,88 (seis milhões, oitocentos e sessenta e dois mil duzentos e cinquenta e três reais e oitenta e oito centavos), sendo o registro contábil, débito da conta contábil provisão para perdas de crédito de liquidação duvidosa (Conta redutora do </w:t>
      </w:r>
      <w:r w:rsidRPr="005F1569">
        <w:rPr>
          <w:rFonts w:ascii="Calibri" w:eastAsia="Times New Roman" w:hAnsi="Calibri" w:cs="Calibri"/>
          <w:color w:val="000000"/>
          <w:sz w:val="27"/>
          <w:szCs w:val="27"/>
          <w:lang w:eastAsia="pt-BR"/>
        </w:rPr>
        <w:lastRenderedPageBreak/>
        <w:t>Ativo) e crédito da conta contábil Prefeitura Municipal de Anápolis (Conta do Ativo), onde ocorrerá a baixa contábil do ativo, conforme razões contábeis (</w:t>
      </w:r>
      <w:hyperlink r:id="rId16" w:tgtFrame="_blank" w:history="1">
        <w:r w:rsidRPr="005F1569">
          <w:rPr>
            <w:rFonts w:ascii="Calibri" w:eastAsia="Times New Roman" w:hAnsi="Calibri" w:cs="Calibri"/>
            <w:color w:val="0000FF"/>
            <w:sz w:val="27"/>
            <w:szCs w:val="27"/>
            <w:u w:val="single"/>
            <w:lang w:eastAsia="pt-BR"/>
          </w:rPr>
          <w:t>83761183</w:t>
        </w:r>
      </w:hyperlink>
      <w:r w:rsidRPr="005F1569">
        <w:rPr>
          <w:rFonts w:ascii="Calibri" w:eastAsia="Times New Roman" w:hAnsi="Calibri" w:cs="Calibri"/>
          <w:color w:val="000000"/>
          <w:sz w:val="27"/>
          <w:szCs w:val="27"/>
          <w:lang w:eastAsia="pt-BR"/>
        </w:rPr>
        <w:t>). Informa-se que este lançamento contábil não surtirá efeitos nas contas de resultados considerando que o reconhecimento como perdas foram realizado em seus próprios exercício social após 2019, conforme determina :</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t> NORMA BRASILEIRA DE CONTABILIDADE, NBC TG 48, DE 25 DE NOVEMBRO DE 2016 A entidade deve reduzir diretamente o valor contábil bruto de ativo financeiro quando a entidade não tiver expectativas razoáveis de recuperar o ativo financeiro em sua totalidade ou parte dele. A baixa constitui evento de desreconhecimento dos registros contábeis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c</w:t>
      </w:r>
      <w:r w:rsidRPr="005F1569">
        <w:rPr>
          <w:rFonts w:ascii="Calibri" w:eastAsia="Times New Roman" w:hAnsi="Calibri" w:cs="Calibri"/>
          <w:color w:val="000000"/>
          <w:sz w:val="27"/>
          <w:szCs w:val="27"/>
          <w:lang w:eastAsia="pt-BR"/>
        </w:rPr>
        <w:t>)  DESPACHO Nº 951/2025/AGEHAB/AI-11797 (</w:t>
      </w:r>
      <w:hyperlink r:id="rId17" w:tgtFrame="_blank" w:history="1">
        <w:r w:rsidRPr="005F1569">
          <w:rPr>
            <w:rFonts w:ascii="Calibri" w:eastAsia="Times New Roman" w:hAnsi="Calibri" w:cs="Calibri"/>
            <w:color w:val="0000FF"/>
            <w:sz w:val="27"/>
            <w:szCs w:val="27"/>
            <w:u w:val="single"/>
            <w:lang w:eastAsia="pt-BR"/>
          </w:rPr>
          <w:t>83894882</w:t>
        </w:r>
      </w:hyperlink>
      <w:r w:rsidRPr="005F1569">
        <w:rPr>
          <w:rFonts w:ascii="Calibri" w:eastAsia="Times New Roman" w:hAnsi="Calibri" w:cs="Calibri"/>
          <w:color w:val="000000"/>
          <w:sz w:val="27"/>
          <w:szCs w:val="27"/>
          <w:lang w:eastAsia="pt-BR"/>
        </w:rPr>
        <w:t>)</w:t>
      </w:r>
      <w:r w:rsidRPr="005F1569">
        <w:rPr>
          <w:rFonts w:ascii="Calibri" w:eastAsia="Times New Roman" w:hAnsi="Calibri" w:cs="Calibri"/>
          <w:b/>
          <w:bCs/>
          <w:color w:val="000000"/>
          <w:sz w:val="27"/>
          <w:szCs w:val="27"/>
          <w:lang w:eastAsia="pt-BR"/>
        </w:rPr>
        <w:t>  </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t>Da Não Afetação do Resultado de 2025</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t>9. A Nota Explicativa esclarece que o lançamento contábil proposto não surtirá efeitos nas contas de resultado do exercício de 2025, pois o reconhecimento das perdas foi realizado em exercício social anterior (2019), quando a PCLD foi constituída.</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t>10. Este entendimento está correto e alinhado com a boa prática contábil. A constituição da PCLD em 2019 já reconheceu a perda esperada no resultado daquele período, cumprindo o Regime de Competência. O lançamento de 2025 é meramente um ajuste patrimonial (baixa do ativo contra sua conta redutora), não impactando o resultado do exercício corrente, o que evita a dupla contabilização da perda.</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t>CONCLUSÃO</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t>11. Diante da análise da documentação e da fundamentação contábil apresentada, a Auditoria Interna CONCORDA com os procedimentos propostos pelo Núcleo de Contabilidade (NFCT) na Nota Explicativa nº 26/2025.</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t>12. Os procedimentos propostos estão em consonância com as Normas Brasileiras de Contabilidade aplicáveis, garantindo a fidedignidade das Demonstrações Financeiras da AGEHAB.</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t>RECOMENDAÇÕES</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t>13. Recomenda-se apenas que o NFCT assegure que a informação sobre a prescrição e a baixa do ativo, bem como o impacto da PCLD, seja devidamente detalhada na Nota Explicativa às Demonstrações Financeiras do exercício de 2025, conforme previsto no item 15 da Nota, em atendimento ao Princípio da Transparência e às exigências de divulgação das NBC TSP.</w:t>
      </w:r>
      <w:r w:rsidRPr="005F1569">
        <w:rPr>
          <w:rFonts w:ascii="Calibri" w:eastAsia="Times New Roman" w:hAnsi="Calibri" w:cs="Calibri"/>
          <w:b/>
          <w:bCs/>
          <w:color w:val="000000"/>
          <w:sz w:val="20"/>
          <w:szCs w:val="20"/>
          <w:lang w:eastAsia="pt-BR"/>
        </w:rPr>
        <w:t>       </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both"/>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lastRenderedPageBreak/>
        <w:t>                   nota 12.3. Unidades Residenciais de Programas de Governo, no município de Senador Canedo e Aparecida de Goiânia, totalizando R$ 699.947,07 (seiscentos e noventa e nove mil novecentos e quarenta e sete reais e sete centavos)</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878"/>
        <w:gridCol w:w="1902"/>
        <w:gridCol w:w="1902"/>
        <w:gridCol w:w="2038"/>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Unidades Residenciais Programas Governo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Senador Canedo - Conjunto Sabiá</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600.528,34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600.528,34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953.012,33</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Aparecida de Goiânia - Conjunto Planície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99.418,73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99.418,73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176.744,44</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699.947,07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699.947,07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1.129.756,77</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 Refere-se aos bens imóveis (em estoque) destinados à comercialização ou cessão pela Agência Goiana de Habitação S/A – AGEHAB, correspondentes a 46 (quarenta e seis) unidades residenciais localizadas no Conjunto Sabiá/Jardim Sabiá, no município de Senador Canedo/GO, e 09 (nove) unidades residenciais localizadas no Conjunto Planície, no município de Aparecida de Goiânia/GO. Tais imóveis estão classificados como “Estoque Destinado à Comercialização ou Cessão”, contabilizados no Ativo Não Circulante – Realizável a Longo Prazo, no grupo contábil “Unidades Residenciais – Programas Governo do Estado e Municípios”.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b) Inventário realizado pela Comissão de Inventário de Bens Imóveis, conforme Deliberação da Diretoria Executiva nº 274/2025 – AGEHAB (</w:t>
      </w:r>
      <w:hyperlink r:id="rId18" w:tgtFrame="_blank" w:history="1">
        <w:r w:rsidRPr="005F1569">
          <w:rPr>
            <w:rFonts w:ascii="Calibri" w:eastAsia="Times New Roman" w:hAnsi="Calibri" w:cs="Calibri"/>
            <w:color w:val="0000FF"/>
            <w:sz w:val="27"/>
            <w:szCs w:val="27"/>
            <w:u w:val="single"/>
            <w:lang w:eastAsia="pt-BR"/>
          </w:rPr>
          <w:t>81748871</w:t>
        </w:r>
      </w:hyperlink>
      <w:r w:rsidRPr="005F1569">
        <w:rPr>
          <w:rFonts w:ascii="Calibri" w:eastAsia="Times New Roman" w:hAnsi="Calibri" w:cs="Calibri"/>
          <w:color w:val="000000"/>
          <w:sz w:val="27"/>
          <w:szCs w:val="27"/>
          <w:lang w:eastAsia="pt-BR"/>
        </w:rPr>
        <w:t>), de acordo com os documentos (</w:t>
      </w:r>
      <w:hyperlink r:id="rId19" w:tgtFrame="_blank" w:history="1">
        <w:r w:rsidRPr="005F1569">
          <w:rPr>
            <w:rFonts w:ascii="Calibri" w:eastAsia="Times New Roman" w:hAnsi="Calibri" w:cs="Calibri"/>
            <w:color w:val="0000FF"/>
            <w:sz w:val="27"/>
            <w:szCs w:val="27"/>
            <w:u w:val="single"/>
            <w:lang w:eastAsia="pt-BR"/>
          </w:rPr>
          <w:t>85438700</w:t>
        </w:r>
      </w:hyperlink>
      <w:r w:rsidRPr="005F1569">
        <w:rPr>
          <w:rFonts w:ascii="Calibri" w:eastAsia="Times New Roman" w:hAnsi="Calibri" w:cs="Calibri"/>
          <w:color w:val="000000"/>
          <w:sz w:val="27"/>
          <w:szCs w:val="27"/>
          <w:lang w:eastAsia="pt-BR"/>
        </w:rPr>
        <w:t>), (</w:t>
      </w:r>
      <w:hyperlink r:id="rId20" w:tgtFrame="_blank" w:history="1">
        <w:r w:rsidRPr="005F1569">
          <w:rPr>
            <w:rFonts w:ascii="Calibri" w:eastAsia="Times New Roman" w:hAnsi="Calibri" w:cs="Calibri"/>
            <w:color w:val="0000FF"/>
            <w:sz w:val="27"/>
            <w:szCs w:val="27"/>
            <w:u w:val="single"/>
            <w:lang w:eastAsia="pt-BR"/>
          </w:rPr>
          <w:t>85442886</w:t>
        </w:r>
      </w:hyperlink>
      <w:r w:rsidRPr="005F1569">
        <w:rPr>
          <w:rFonts w:ascii="Calibri" w:eastAsia="Times New Roman" w:hAnsi="Calibri" w:cs="Calibri"/>
          <w:color w:val="000000"/>
          <w:sz w:val="27"/>
          <w:szCs w:val="27"/>
          <w:lang w:eastAsia="pt-BR"/>
        </w:rPr>
        <w:t>) e (</w:t>
      </w:r>
      <w:hyperlink r:id="rId21" w:tgtFrame="_blank" w:history="1">
        <w:r w:rsidRPr="005F1569">
          <w:rPr>
            <w:rFonts w:ascii="Calibri" w:eastAsia="Times New Roman" w:hAnsi="Calibri" w:cs="Calibri"/>
            <w:color w:val="0000FF"/>
            <w:sz w:val="27"/>
            <w:szCs w:val="27"/>
            <w:u w:val="single"/>
            <w:lang w:eastAsia="pt-BR"/>
          </w:rPr>
          <w:t>85455157</w:t>
        </w:r>
      </w:hyperlink>
      <w:r w:rsidRPr="005F1569">
        <w:rPr>
          <w:rFonts w:ascii="Calibri" w:eastAsia="Times New Roman" w:hAnsi="Calibri" w:cs="Calibri"/>
          <w:color w:val="000000"/>
          <w:sz w:val="27"/>
          <w:szCs w:val="27"/>
          <w:lang w:eastAsia="pt-BR"/>
        </w:rPr>
        <w:t>), constantes do Processo nº 202500005032714.</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c) Em 2025, foram realizadas doações de 27 (vinte e sete) unidades residenciais do Conjunto Sabiá, no município de Senador Canedo/GO, conforme Processo nº 202300031003067, Deliberação da Diretoria Executiva nº 110/2023 – AGEHAB (</w:t>
      </w:r>
      <w:hyperlink r:id="rId22" w:tgtFrame="_blank" w:history="1">
        <w:r w:rsidRPr="005F1569">
          <w:rPr>
            <w:rFonts w:ascii="Calibri" w:eastAsia="Times New Roman" w:hAnsi="Calibri" w:cs="Calibri"/>
            <w:color w:val="0000FF"/>
            <w:sz w:val="27"/>
            <w:szCs w:val="27"/>
            <w:u w:val="single"/>
            <w:lang w:eastAsia="pt-BR"/>
          </w:rPr>
          <w:t>50192849</w:t>
        </w:r>
      </w:hyperlink>
      <w:r w:rsidRPr="005F1569">
        <w:rPr>
          <w:rFonts w:ascii="Calibri" w:eastAsia="Times New Roman" w:hAnsi="Calibri" w:cs="Calibri"/>
          <w:color w:val="000000"/>
          <w:sz w:val="27"/>
          <w:szCs w:val="27"/>
          <w:lang w:eastAsia="pt-BR"/>
        </w:rPr>
        <w:t>) e DESPACHO nº 777/2025/AGEHAB/GSRF-11804 (</w:t>
      </w:r>
      <w:hyperlink r:id="rId23" w:tgtFrame="_blank" w:history="1">
        <w:r w:rsidRPr="005F1569">
          <w:rPr>
            <w:rFonts w:ascii="Calibri" w:eastAsia="Times New Roman" w:hAnsi="Calibri" w:cs="Calibri"/>
            <w:color w:val="0000FF"/>
            <w:sz w:val="27"/>
            <w:szCs w:val="27"/>
            <w:u w:val="single"/>
            <w:lang w:eastAsia="pt-BR"/>
          </w:rPr>
          <w:t>76646506</w:t>
        </w:r>
      </w:hyperlink>
      <w:r w:rsidRPr="005F1569">
        <w:rPr>
          <w:rFonts w:ascii="Calibri" w:eastAsia="Times New Roman" w:hAnsi="Calibri" w:cs="Calibri"/>
          <w:color w:val="000000"/>
          <w:sz w:val="27"/>
          <w:szCs w:val="27"/>
          <w:lang w:eastAsia="pt-BR"/>
        </w:rPr>
        <w:t>). A medida fundamenta-se na política habitacional executada por esta Agência, tendo sido aprovada a regularização, por meio de legitimação fundiária, do Conjunto Habitacional Jardim Sabiá, caracterizado como núcleo urbano informal consolidado, conforme disposto no PARECER JURÍDICO REFERENCIAL AGEHAB/ASJUR nº 195/2023 (46094479).</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d) Em 2025, foram realizadas doações de 07 (sete) unidades residenciais do Conjunto Planície, no município de Aparecida de Goiânia/GO, conforme Processo nº 202300031006464 e Deliberação da Diretoria Executiva nº 177/2025 – AGEHAB (</w:t>
      </w:r>
      <w:hyperlink r:id="rId24" w:tgtFrame="_blank" w:history="1">
        <w:r w:rsidRPr="005F1569">
          <w:rPr>
            <w:rFonts w:ascii="Calibri" w:eastAsia="Times New Roman" w:hAnsi="Calibri" w:cs="Calibri"/>
            <w:color w:val="0000FF"/>
            <w:sz w:val="27"/>
            <w:szCs w:val="27"/>
            <w:u w:val="single"/>
            <w:lang w:eastAsia="pt-BR"/>
          </w:rPr>
          <w:t>75468401</w:t>
        </w:r>
      </w:hyperlink>
      <w:r w:rsidRPr="005F1569">
        <w:rPr>
          <w:rFonts w:ascii="Calibri" w:eastAsia="Times New Roman" w:hAnsi="Calibri" w:cs="Calibri"/>
          <w:color w:val="000000"/>
          <w:sz w:val="27"/>
          <w:szCs w:val="27"/>
          <w:lang w:eastAsia="pt-BR"/>
        </w:rPr>
        <w:t xml:space="preserve">), que autorizou a regularização fundiária urbana de 16 lotes existentes no loteamento Setor Planície, de </w:t>
      </w:r>
      <w:r w:rsidRPr="005F1569">
        <w:rPr>
          <w:rFonts w:ascii="Calibri" w:eastAsia="Times New Roman" w:hAnsi="Calibri" w:cs="Calibri"/>
          <w:color w:val="000000"/>
          <w:sz w:val="27"/>
          <w:szCs w:val="27"/>
          <w:lang w:eastAsia="pt-BR"/>
        </w:rPr>
        <w:lastRenderedPageBreak/>
        <w:t>propriedade da Agência Goiana de Habitação – AGEHAB, com fundamento na Lei Estadual nº 20.954/2020 e na Lei Federal nº 13.465/2017. O procedimento observou as recomendações jurídicas constantes no Parecer Jurídico nº 170/2024 (</w:t>
      </w:r>
      <w:hyperlink r:id="rId25" w:tgtFrame="_blank" w:history="1">
        <w:r w:rsidRPr="005F1569">
          <w:rPr>
            <w:rFonts w:ascii="Calibri" w:eastAsia="Times New Roman" w:hAnsi="Calibri" w:cs="Calibri"/>
            <w:color w:val="0000FF"/>
            <w:sz w:val="27"/>
            <w:szCs w:val="27"/>
            <w:u w:val="single"/>
            <w:lang w:eastAsia="pt-BR"/>
          </w:rPr>
          <w:t>57625550</w:t>
        </w:r>
      </w:hyperlink>
      <w:r w:rsidRPr="005F1569">
        <w:rPr>
          <w:rFonts w:ascii="Calibri" w:eastAsia="Times New Roman" w:hAnsi="Calibri" w:cs="Calibri"/>
          <w:color w:val="000000"/>
          <w:sz w:val="27"/>
          <w:szCs w:val="27"/>
          <w:lang w:eastAsia="pt-BR"/>
        </w:rPr>
        <w:t>).</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12.4. Terrenos Destinados Edificações ou Urbanização, totalizando R$ 1.791.731,84 (um milhão, setecentos e noventa e um mil setecentos e trinta e um reais e oitenta e quatro centavos)</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089"/>
        <w:gridCol w:w="1877"/>
        <w:gridCol w:w="1877"/>
        <w:gridCol w:w="1877"/>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Terrenos Destinados Edificações ou Urbanização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Santos Dumont/Goiânia Goiás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54.655,68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54.655,68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54.655,68</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Conjunto Vera Cruz/Goiânia Goiás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1.737.076,16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2.065.986,29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2.109.198,96</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1.791.731,84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2.120.641,97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2.163.854,64</w:t>
            </w:r>
          </w:p>
        </w:tc>
      </w:tr>
    </w:tbl>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12.4.1. Santos Dumont e Conjunto Vera Cruz</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12.4.1. Refere-se aos bens imóveis (em estoque) destinados à comercialização ou cessão pela Agência Goiana de Habitação S/A – AGEHAB, correspondentes a 619 (seiscentos e dezenove) terrenos urbanos localizados no Conjunto Vera Cruz, no município de Goiânia/GO, e 05 (cinco) terrenos urbanos localizados no Conjunto Santos Dumont, no município de Goiânia/GO. Tais imóveis estão classificados como “Estoque Destinado à Comercialização ou Cessão”, contabilizados no Ativo Não Circulante – Realizável a Longo Prazo, no grupo contábil “Terrenos Destinados a Edificações ou Urbanização”.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12.4.2. Em cumprimento à Resolução do Conselho Federal de Contabilidade nº 1.428/2013, regulamentada pela NBC TG 46 – Mensuração do Valor Justo, foram realizadas avaliações a valor justo. Entretanto, os respectivos ajustes não foram reconhecidos contabilmente, tendo em vista que os referidos lotes serão destinados à construção de moradias de interesse social voltadas às famílias de baixa renda.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12.4.3. Em 31/03/2025, ocorreram baixas proporcionais referentes a 116 (cento e dezesseis) escrituras relacionadas às alienações dos blocos 104 a 117, localizados na Rua VC-21 e Rua VC-21-A, no Conjunto Vera Cruz, em Goiânia/GO, destinados à construção de 240 (duzentas e quarenta) unidades habitacionais do empreendimento Iris Rezende III, Processo nº 202300031009127.</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12.4.4. Em 08/12/2025, ocorreram baixas proporcionais referentes a 100 (cem) escrituras relacionadas às alienações dos blocos 104 a 117, localizados na Rua VC-</w:t>
      </w:r>
      <w:r w:rsidRPr="005F1569">
        <w:rPr>
          <w:rFonts w:ascii="Calibri" w:eastAsia="Times New Roman" w:hAnsi="Calibri" w:cs="Calibri"/>
          <w:color w:val="000000"/>
          <w:sz w:val="24"/>
          <w:szCs w:val="24"/>
          <w:lang w:eastAsia="pt-BR"/>
        </w:rPr>
        <w:lastRenderedPageBreak/>
        <w:t>21 e Rua VC-21-A, no Conjunto Vera Cruz, em Goiânia/GO, destinados à construção de 240 (duzentas e quarenta) unidades habitacionais do empreendimento Iris Rezende III, Processo nº 202300031009127.</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12.4.5. Inventário realizado pela Comissão de Inventário de Bens Imóveis, conforme Deliberação da Diretoria Executiva nº 274/2025 – AGEHAB (</w:t>
      </w:r>
      <w:hyperlink r:id="rId26" w:tgtFrame="_blank" w:history="1">
        <w:r w:rsidRPr="005F1569">
          <w:rPr>
            <w:rFonts w:ascii="Calibri" w:eastAsia="Times New Roman" w:hAnsi="Calibri" w:cs="Calibri"/>
            <w:color w:val="0000FF"/>
            <w:sz w:val="24"/>
            <w:szCs w:val="24"/>
            <w:u w:val="single"/>
            <w:lang w:eastAsia="pt-BR"/>
          </w:rPr>
          <w:t>81748871</w:t>
        </w:r>
      </w:hyperlink>
      <w:r w:rsidRPr="005F1569">
        <w:rPr>
          <w:rFonts w:ascii="Calibri" w:eastAsia="Times New Roman" w:hAnsi="Calibri" w:cs="Calibri"/>
          <w:color w:val="000000"/>
          <w:sz w:val="24"/>
          <w:szCs w:val="24"/>
          <w:lang w:eastAsia="pt-BR"/>
        </w:rPr>
        <w:t>), de acordo com os documentos (</w:t>
      </w:r>
      <w:hyperlink r:id="rId27" w:tgtFrame="_blank" w:history="1">
        <w:r w:rsidRPr="005F1569">
          <w:rPr>
            <w:rFonts w:ascii="Calibri" w:eastAsia="Times New Roman" w:hAnsi="Calibri" w:cs="Calibri"/>
            <w:color w:val="0000FF"/>
            <w:sz w:val="24"/>
            <w:szCs w:val="24"/>
            <w:u w:val="single"/>
            <w:lang w:eastAsia="pt-BR"/>
          </w:rPr>
          <w:t>85454397</w:t>
        </w:r>
      </w:hyperlink>
      <w:r w:rsidRPr="005F1569">
        <w:rPr>
          <w:rFonts w:ascii="Calibri" w:eastAsia="Times New Roman" w:hAnsi="Calibri" w:cs="Calibri"/>
          <w:color w:val="000000"/>
          <w:sz w:val="24"/>
          <w:szCs w:val="24"/>
          <w:lang w:eastAsia="pt-BR"/>
        </w:rPr>
        <w:t>) e (</w:t>
      </w:r>
      <w:hyperlink r:id="rId28" w:tgtFrame="_blank" w:history="1">
        <w:r w:rsidRPr="005F1569">
          <w:rPr>
            <w:rFonts w:ascii="Calibri" w:eastAsia="Times New Roman" w:hAnsi="Calibri" w:cs="Calibri"/>
            <w:color w:val="0000FF"/>
            <w:sz w:val="24"/>
            <w:szCs w:val="24"/>
            <w:u w:val="single"/>
            <w:lang w:eastAsia="pt-BR"/>
          </w:rPr>
          <w:t>85455157</w:t>
        </w:r>
      </w:hyperlink>
      <w:r w:rsidRPr="005F1569">
        <w:rPr>
          <w:rFonts w:ascii="Calibri" w:eastAsia="Times New Roman" w:hAnsi="Calibri" w:cs="Calibri"/>
          <w:color w:val="000000"/>
          <w:sz w:val="24"/>
          <w:szCs w:val="24"/>
          <w:lang w:eastAsia="pt-BR"/>
        </w:rPr>
        <w:t>), constantes do Processo nº 202500005032714.</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12.4.6. Em 11/03/2026, ocorreram baixas proporcionais referentes a 24 (vinte e quatro) escrituras relacionadas às alienações dos blocos 104 a 117, localizados na Rua VC-21 e Rua VC-21-A, no Conjunto Vera Cruz, em Goiânia/GO, destinados à construção de 240 (duzentas e quarenta) unidades habitacionais do empreendimento Iris Rezende III, Processo nº 202200031002239.</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12.4.7. Em 16/03/2026, refere-se à alienação de terrenos localizados na Área A-31 (blocos 90 a 99), Rua VC-34, e Área A-32 (blocos 100 a 103), Rua Moisés Augusto Santana, destinados ao empreendimento Iris Rezende IV (Processo nº 202400031011534), conforme autorizações constantes no DESPACHO nº 522/2026/AGE e DESPACHO nº 90/2026/AGEHAB/PJ-11798, Processo nº 202600031001483.</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12.4.8. Em 16/03/2026, refere-se à alienação de terrenos localizados na Área A-24 (blocos 46 a 50), Rua VC-31, e Área A-30 (blocos 80 a 89), Rua VC-32, destinados ao empreendimento Iris Rezende V (Processo nº 202400031011532), conforme autorizações constantes no DESPACHO nº 522/2026/AGE e DESPACHO nº 90/2026/AGEHAB/PJ-11798, Processo nº 202600031001483.</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12.4.9. Em 16/03/2026, refere-se à alienação de terrenos localizados na Área A-21 (blocos 16 a 25), Rua VC-36, e Área A-23 (blocos 42 a 45), Rua VC-27, destinados ao empreendimento Iris Rezende VI (Processo nº 202400031011535), conforme autorizações constantes no DESPACHO nº 522/2026/AGE e DESPACHO nº 90/2026/AGEHAB/PJ-11798, Processo nº 202600031001483.</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12.5. Tributos a recuperar, totalizando R$ 903.458,19 (novecentos e três mil quatrocentos e cinquenta e oito reais e dezenove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xml:space="preserve">12.5.1. Refere-se ao saldo negativo de Imposto de Renda, decorrente do Imposto de Renda Retido na Fonte (IRRF) incidente sobre os rendimentos financeiros das contas de investimento e poupança mantidas em nome da Agência Goiana de Habitação S/A, bem como do IRRF retido </w:t>
      </w:r>
      <w:r w:rsidRPr="005F1569">
        <w:rPr>
          <w:rFonts w:ascii="Calibri" w:eastAsia="Times New Roman" w:hAnsi="Calibri" w:cs="Calibri"/>
          <w:color w:val="000000"/>
          <w:sz w:val="27"/>
          <w:szCs w:val="27"/>
          <w:lang w:eastAsia="pt-BR"/>
        </w:rPr>
        <w:lastRenderedPageBreak/>
        <w:t>sobre as notas fiscais emitidas para a Secretaria de Estado da Economia. Os respectivos valores são atualizados mensalmente com base nos juros de mora equivalentes à taxa referencial do Sistema Especial de Liquidação e Custódia (SELIC).</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495"/>
        <w:gridCol w:w="2075"/>
        <w:gridCol w:w="2075"/>
        <w:gridCol w:w="2075"/>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Tributos a Recuperar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Saldo Negativo do Imposto de Renda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903.458,19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373.527,44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747.771,07</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903.458,19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373.527,44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747.771,07</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 Em 20/09/2024, foi creditada em conta bancária de titularidade da Agência Goiana de Habitação S/A restituição decorrente das retenções de Imposto de Renda relativas ao Exercício Social de 2022, por meio do PER/DCOMP nº 25026.21614.280623.1.2.02-2901.</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b) Em 21/11/2024, foi creditada em conta bancária de titularidade da Agência Goiana de Habitação S/A restituição decorrente das retenções de Imposto de Renda relativas ao Exercício Social de 2017, por meio do PER/DCOMP nº 34794.42220.180320.1.6.02-0367.</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c) Em 19/07/2024, foi protocolado junto à Receita Federal pedido de restituição referente às retenções de Imposto de Renda relativas ao Exercício Social de 2023, por meio do PER/DCOMP nº 17888.01882.190724.1.2.02-8176, cuja solicitação permanece em análise.</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d) Em 22/09/2025, a AGEHAB recebeu em conta bancária restituição referente às retenções de Imposto de Renda relativas ao Exercício Social de 2024, por meio do PER/DCOMP nº 29717.54774.100725.1.2.02-9147, no montante de R$ 432.527,75 (quatrocentos e trinta e dois mil, quinhentos e vinte e sete reais e setenta e cinco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firstLine="1699"/>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12.6. Obras em Andamento – Programas Habitacionais, totalizando R$ 777.827.333,35 (setecentos e setenta e sete milhões, oitocentos e vinte e sete mil trezentos e trinta e três reais e trinta e cinco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xml:space="preserve">12.6.1. Os valores contabilizados no grupo “Obras em Andamento” referem-se aos pagamentos realizados pelos serviços prestados pelas construtoras, compreendendo mão de obra e materiais, com utilização de recursos financeiros oriundos do Tesouro do Estado de Goiás, a título de </w:t>
      </w:r>
      <w:r w:rsidRPr="005F1569">
        <w:rPr>
          <w:rFonts w:ascii="Calibri" w:eastAsia="Times New Roman" w:hAnsi="Calibri" w:cs="Calibri"/>
          <w:color w:val="000000"/>
          <w:sz w:val="27"/>
          <w:szCs w:val="27"/>
          <w:lang w:eastAsia="pt-BR"/>
        </w:rPr>
        <w:lastRenderedPageBreak/>
        <w:t>subvenção governamental destinada ao subsídio do programa governamental “Moradia como Base de Cidadania”, voltado à construção de unidades habitacionais. Também compreendem recursos provenientes de convênios federais relacionados aos termos de parceria firmados entre União/CEF/FAR/PROTEGE, destinados ao subsídio da construção de unidades habitacionais.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12.6.2 Controle dos valores contabilizados em Obras em Andamento, mediante acompanhamento das notas fiscais apropriadas por fonte orçamentária.</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656"/>
        <w:gridCol w:w="1688"/>
        <w:gridCol w:w="1688"/>
        <w:gridCol w:w="1688"/>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Obras Em Andamento - Programas Habitacionais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Obras em Andamento - Recurso Tesouro Estadual - Fonte Protege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735.654.333,67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665.989.230,17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531.189.985,76</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Obras em Andamento - Convênios Federais FGTS/CAIXA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3.288.451,36</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Obras em Andamento - Retomada - Fonte Recurso Ordinário Estadual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7.314.279,73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6.981.044,48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8.727.215,36</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Obras em Andamento - Recurso Tesouro Estadual - Fonte Protege/FAR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34.858.719,95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22.935.081,68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777.827.333,35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695.905.356,33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543.205.652,48</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12.6.2.1. Considerando o período de 01/01/2026 a 31/03/2026, foram registrados o montante de R$ 107.875.437,62 (cento e sete milhões, oitocentos e setenta e cinco mil, quatrocentos e trinta e sete reais e sessenta e dois centavos) em notas fiscais emitidas referentes à execução da ação de Construção de Unidades Habitacionais.</w:t>
      </w:r>
    </w:p>
    <w:tbl>
      <w:tblPr>
        <w:tblW w:w="1018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888"/>
        <w:gridCol w:w="2646"/>
        <w:gridCol w:w="2646"/>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Saldo em 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695.905.356,33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505.633.074,85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Medições Realizadas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107.875.437,62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525.662.288,89</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Baixas Realizadas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25.953.460,60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332.101.556,05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Transferência Obras Concluídas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3.288.451,36</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 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777.827.333,35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695.905.356,33</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12.6.2.2. No 2º Trimestre de 2025, foram celebrados convênios entre CEF/FAR/PROTEGE/AGEHAB com o objetivo de construir 1.488 (mil quatrocentas e oitenta e oito) Unidades Habitacionais, distribuídas em 07 (sete) empreendimentos denominados Villa Romana, Residencial Alto da Boa Vista I, II e III, no município de Aparecida de Goiânia, e Residencial Iris Rezende IV, V e VI, localizados no Conjunto Vera Cruz, em Goiânia.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12.6.3. Por meio da Nota Técnica nº 05/2024 – AGEHAB-ASCONT-20038 (</w:t>
      </w:r>
      <w:hyperlink r:id="rId29" w:tgtFrame="_blank" w:history="1">
        <w:r w:rsidRPr="005F1569">
          <w:rPr>
            <w:rFonts w:ascii="Calibri" w:eastAsia="Times New Roman" w:hAnsi="Calibri" w:cs="Calibri"/>
            <w:color w:val="0000FF"/>
            <w:sz w:val="27"/>
            <w:szCs w:val="27"/>
            <w:u w:val="single"/>
            <w:lang w:eastAsia="pt-BR"/>
          </w:rPr>
          <w:t>65208656</w:t>
        </w:r>
      </w:hyperlink>
      <w:r w:rsidRPr="005F1569">
        <w:rPr>
          <w:rFonts w:ascii="Calibri" w:eastAsia="Times New Roman" w:hAnsi="Calibri" w:cs="Calibri"/>
          <w:color w:val="000000"/>
          <w:sz w:val="27"/>
          <w:szCs w:val="27"/>
          <w:lang w:eastAsia="pt-BR"/>
        </w:rPr>
        <w:t xml:space="preserve">), constante do Processo nº 202400031007406, considerando que as Unidades Habitacionais construídas não integram o patrimônio da Agência Goiana de Habitação S/A, tendo em vista que são objeto de doação às famílias goianas, conforme disposto na Lei Estadual nº 21.219, </w:t>
      </w:r>
      <w:r w:rsidRPr="005F1569">
        <w:rPr>
          <w:rFonts w:ascii="Calibri" w:eastAsia="Times New Roman" w:hAnsi="Calibri" w:cs="Calibri"/>
          <w:color w:val="000000"/>
          <w:sz w:val="27"/>
          <w:szCs w:val="27"/>
          <w:lang w:eastAsia="pt-BR"/>
        </w:rPr>
        <w:lastRenderedPageBreak/>
        <w:t>de 29 de dezembro de 2021, em especial no art. 4º, o Programa Pra Ter Onde Morar, quanto à construção, tem por objetivo construir ou concluir unidades habitacionais de interesse social em municípios do Estado de Goiás, para posterior doação a famílias em situação de vulnerabilidade social e econômica.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12.6.4. No Exercício Social de 2025, ocorreu a conclusão documental referente à construção de 50 (cinquenta) Unidades Habitacionais no município de Damianópolis/Goiás, vinculadas ao Processo nº 202200031001603, oriundo de convênios federais FGTS/CAIXA.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12.6.5. No exercício de 2025, foram realizadas baixas de 2.692 (duas mil seiscentas e noventa e duas) Unidades Habitacionais construídas no âmbito do programa habitacional Casas a Custo Zero, com recursos de Subvenção Governamental oriundos do Tesouro do Estado de Goiás, bem como de obras retomadas com Recursos Ordinários do Estado de Goiás, totalizando o montante de R$ 332.101.556,05 (trezentos e trinta e dois milhões, cento e um mil, quinhentos e cinquenta e seis reais e cinco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12.6.6. Considerando o período de 01/01/2026 a 31/03/2026, foram realizadas baixas de 177 (cento e setenta e sete) Unidades Habitacionais construídas no âmbito do programa habitacional Casas a Custo Zero, com recursos de Subvenção Governamental oriundos do Tesouro do Estado de Goiás, totalizando R$ 25.953.460,60 (vinte e cinco milhões, novecentos e cinquenta e três mil, quatrocentos e sessenta reais e sessenta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firstLine="1699"/>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both"/>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nota 12.7. Obras Concluídas – Programas Habitacionais - Convênios CAIXA/FGTS/AGEHAB, totalizando R$ 2.292.361,53 (dois milhões, duzentos e noventa e dois mil trezentos e sessenta e um reais e cinquenta e três centavos)</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806"/>
        <w:gridCol w:w="1638"/>
        <w:gridCol w:w="1638"/>
        <w:gridCol w:w="1638"/>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Obras Concluídas - Programas Habitacionais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Obra Concluída - Convênios Federais/CAIXA/FGTS (João Paulo II)</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2.292.361,53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2.292.361,53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3.288.451,36</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2.292.361,53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2.292.361,53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3.288.451,36</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lastRenderedPageBreak/>
        <w:t>12.7.1. Refere-se ao convênio firmado com a Caixa Econômica Federal, com recursos do FGTS, destinado à construção de unidades habitacionais no município de Goiânia/Goiás – Residencial João Paulo II, correspondente a 230 (duzentas e trinta) unidades habitacionais, cujos documentos relativos à conclusão da obra encontram-se em fase final de elaboração e regularização.</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13. Imobilizado e Intangível, totalizando R$ 7.526.046,07 (sete milhões, quinhentos e vinte e seis mil e quarenta e seis reais e sete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222222"/>
          <w:sz w:val="27"/>
          <w:szCs w:val="27"/>
          <w:shd w:val="clear" w:color="auto" w:fill="FFFFFF"/>
          <w:lang w:eastAsia="pt-BR"/>
        </w:rPr>
        <w:t>13.1. A administração aplicou o teste de IMPAIRMENT elaborado pela empresa Compliance Auditores Independentes Eireli, cujas conclusões são que os ativos não apresentaram perda por Recuperabilidade sendo que os valores apurados com base nos preços praticados no mercado ativo estão acima dos valores contabilizados, </w:t>
      </w:r>
      <w:r w:rsidRPr="005F1569">
        <w:rPr>
          <w:rFonts w:ascii="Calibri" w:eastAsia="Times New Roman" w:hAnsi="Calibri" w:cs="Calibri"/>
          <w:color w:val="000000"/>
          <w:sz w:val="27"/>
          <w:szCs w:val="27"/>
          <w:lang w:eastAsia="pt-BR"/>
        </w:rPr>
        <w:t>processo 202200031005290 documento 35871229.</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13.2. Administração realizou avaliação acerca da Necessidade de Reconhecimento de Perdas por Redução ao Valor Recuperável em 31 de Dezembro de 2024, assim constatou não haver indícios de perda por desvalorização dos bens da Agência Goiana de Habitação S/A, processo 202400005031714 documento (</w:t>
      </w:r>
      <w:hyperlink r:id="rId30" w:tgtFrame="_blank" w:history="1">
        <w:r w:rsidRPr="005F1569">
          <w:rPr>
            <w:rFonts w:ascii="Calibri" w:eastAsia="Times New Roman" w:hAnsi="Calibri" w:cs="Calibri"/>
            <w:color w:val="0000FF"/>
            <w:sz w:val="27"/>
            <w:szCs w:val="27"/>
            <w:u w:val="single"/>
            <w:lang w:eastAsia="pt-BR"/>
          </w:rPr>
          <w:t>68596179</w:t>
        </w:r>
      </w:hyperlink>
      <w:r w:rsidRPr="005F1569">
        <w:rPr>
          <w:rFonts w:ascii="Calibri" w:eastAsia="Times New Roman" w:hAnsi="Calibri" w:cs="Calibri"/>
          <w:color w:val="000000"/>
          <w:sz w:val="27"/>
          <w:szCs w:val="27"/>
          <w:lang w:eastAsia="pt-BR"/>
        </w:rPr>
        <w:t>).</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13.3. Administração realizou avaliação acerca da Necessidade de Reconhecimento de Perdas por Redução ao Valor Recuperável em 31 de Dezembro de 2025, assim constatou não haver indícios de perda por desvalorização dos bens da Agência Goiana de Habitação S/A, processo 202500031009428 documento (</w:t>
      </w:r>
      <w:hyperlink r:id="rId31" w:tgtFrame="_blank" w:history="1">
        <w:r w:rsidRPr="005F1569">
          <w:rPr>
            <w:rFonts w:ascii="Calibri" w:eastAsia="Times New Roman" w:hAnsi="Calibri" w:cs="Calibri"/>
            <w:color w:val="0000FF"/>
            <w:sz w:val="27"/>
            <w:szCs w:val="27"/>
            <w:u w:val="single"/>
            <w:lang w:eastAsia="pt-BR"/>
          </w:rPr>
          <w:t>83986284</w:t>
        </w:r>
      </w:hyperlink>
      <w:r w:rsidRPr="005F1569">
        <w:rPr>
          <w:rFonts w:ascii="Calibri" w:eastAsia="Times New Roman" w:hAnsi="Calibri" w:cs="Calibri"/>
          <w:color w:val="000000"/>
          <w:sz w:val="27"/>
          <w:szCs w:val="27"/>
          <w:lang w:eastAsia="pt-BR"/>
        </w:rPr>
        <w:t>).</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13.4. A Agência Goiana de Habitação S/A - AGEHAB através das comissões de inventários dos bens imóveis e móveis realizou inventário do Exercício Social de 2025 conforme processo 202500031009428 conforme documentos Deliberação da Diretoria Executiva 271/2025 - AGEHAB (</w:t>
      </w:r>
      <w:hyperlink r:id="rId32" w:tgtFrame="_blank" w:history="1">
        <w:r w:rsidRPr="005F1569">
          <w:rPr>
            <w:rFonts w:ascii="Calibri" w:eastAsia="Times New Roman" w:hAnsi="Calibri" w:cs="Calibri"/>
            <w:color w:val="0000FF"/>
            <w:sz w:val="27"/>
            <w:szCs w:val="27"/>
            <w:u w:val="single"/>
            <w:lang w:eastAsia="pt-BR"/>
          </w:rPr>
          <w:t>81543957</w:t>
        </w:r>
      </w:hyperlink>
      <w:r w:rsidRPr="005F1569">
        <w:rPr>
          <w:rFonts w:ascii="Calibri" w:eastAsia="Times New Roman" w:hAnsi="Calibri" w:cs="Calibri"/>
          <w:color w:val="000000"/>
          <w:sz w:val="27"/>
          <w:szCs w:val="27"/>
          <w:lang w:eastAsia="pt-BR"/>
        </w:rPr>
        <w:t>), ( </w:t>
      </w:r>
      <w:hyperlink r:id="rId33" w:tgtFrame="_blank" w:history="1">
        <w:r w:rsidRPr="005F1569">
          <w:rPr>
            <w:rFonts w:ascii="Calibri" w:eastAsia="Times New Roman" w:hAnsi="Calibri" w:cs="Calibri"/>
            <w:color w:val="0000FF"/>
            <w:sz w:val="27"/>
            <w:szCs w:val="27"/>
            <w:u w:val="single"/>
            <w:lang w:eastAsia="pt-BR"/>
          </w:rPr>
          <w:t>83831000</w:t>
        </w:r>
      </w:hyperlink>
      <w:r w:rsidRPr="005F1569">
        <w:rPr>
          <w:rFonts w:ascii="Calibri" w:eastAsia="Times New Roman" w:hAnsi="Calibri" w:cs="Calibri"/>
          <w:color w:val="000000"/>
          <w:sz w:val="27"/>
          <w:szCs w:val="27"/>
          <w:lang w:eastAsia="pt-BR"/>
        </w:rPr>
        <w:t>), (</w:t>
      </w:r>
      <w:hyperlink r:id="rId34" w:tgtFrame="_blank" w:history="1">
        <w:r w:rsidRPr="005F1569">
          <w:rPr>
            <w:rFonts w:ascii="Calibri" w:eastAsia="Times New Roman" w:hAnsi="Calibri" w:cs="Calibri"/>
            <w:color w:val="0000FF"/>
            <w:sz w:val="27"/>
            <w:szCs w:val="27"/>
            <w:u w:val="single"/>
            <w:lang w:eastAsia="pt-BR"/>
          </w:rPr>
          <w:t>83977354</w:t>
        </w:r>
      </w:hyperlink>
      <w:r w:rsidRPr="005F1569">
        <w:rPr>
          <w:rFonts w:ascii="Calibri" w:eastAsia="Times New Roman" w:hAnsi="Calibri" w:cs="Calibri"/>
          <w:color w:val="000000"/>
          <w:sz w:val="27"/>
          <w:szCs w:val="27"/>
          <w:lang w:eastAsia="pt-BR"/>
        </w:rPr>
        <w:t>), (</w:t>
      </w:r>
      <w:hyperlink r:id="rId35" w:tgtFrame="_blank" w:history="1">
        <w:r w:rsidRPr="005F1569">
          <w:rPr>
            <w:rFonts w:ascii="Calibri" w:eastAsia="Times New Roman" w:hAnsi="Calibri" w:cs="Calibri"/>
            <w:color w:val="0000FF"/>
            <w:sz w:val="27"/>
            <w:szCs w:val="27"/>
            <w:u w:val="single"/>
            <w:lang w:eastAsia="pt-BR"/>
          </w:rPr>
          <w:t>83978758</w:t>
        </w:r>
      </w:hyperlink>
      <w:r w:rsidRPr="005F1569">
        <w:rPr>
          <w:rFonts w:ascii="Calibri" w:eastAsia="Times New Roman" w:hAnsi="Calibri" w:cs="Calibri"/>
          <w:color w:val="000000"/>
          <w:sz w:val="27"/>
          <w:szCs w:val="27"/>
          <w:lang w:eastAsia="pt-BR"/>
        </w:rPr>
        <w:t>), ( </w:t>
      </w:r>
      <w:hyperlink r:id="rId36" w:tgtFrame="_blank" w:history="1">
        <w:r w:rsidRPr="005F1569">
          <w:rPr>
            <w:rFonts w:ascii="Calibri" w:eastAsia="Times New Roman" w:hAnsi="Calibri" w:cs="Calibri"/>
            <w:color w:val="0000FF"/>
            <w:sz w:val="27"/>
            <w:szCs w:val="27"/>
            <w:u w:val="single"/>
            <w:lang w:eastAsia="pt-BR"/>
          </w:rPr>
          <w:t>83982209</w:t>
        </w:r>
      </w:hyperlink>
      <w:r w:rsidRPr="005F1569">
        <w:rPr>
          <w:rFonts w:ascii="Calibri" w:eastAsia="Times New Roman" w:hAnsi="Calibri" w:cs="Calibri"/>
          <w:color w:val="000000"/>
          <w:sz w:val="27"/>
          <w:szCs w:val="27"/>
          <w:lang w:eastAsia="pt-BR"/>
        </w:rPr>
        <w:t>).</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lastRenderedPageBreak/>
        <w:t>nota 13.5. Imobilizado, totalizando R$ 2.467.731,30 (dois milhões, quatrocentos e sessenta e sete mil setecentos e trinta e um reais e trinta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13.5.1. O Imobilizado está demonstrado pelo custo de aquisição, sendo os bens destinados ao funcionamento normal das atividades da entidade. Os bens sujeitos à depreciação são depreciados pelo método linear, com aplicação de taxas que consideram a vida útil econômica estimada dos ativos.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13.5.2. Os bens patrimoniais encontram-se devidamente identificados por meio de plaquetas patrimoniais, bem como alocados por unidades administrativas e centros de custos, possibilitando o adequado controle e acompanhamento patrimonial.</w:t>
      </w:r>
    </w:p>
    <w:tbl>
      <w:tblPr>
        <w:tblW w:w="175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158"/>
        <w:gridCol w:w="1789"/>
        <w:gridCol w:w="1872"/>
        <w:gridCol w:w="2567"/>
        <w:gridCol w:w="2567"/>
        <w:gridCol w:w="2567"/>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Contas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Aquisições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Depreciações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Líquido 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Líquido 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Líquido 31/03/2025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Mobiliário em Geral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1.127.705,86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-761.719,69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365.986,17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400.955,21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438.865,16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Aparelhos e Equipamentos de Comunicação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122.050,94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-107.664,28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14.386,66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21.813,28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44.093,14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Equipamentos de Processamento de Dados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4.900.251,73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-3.166.317,72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1.733.934,01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1.587.318,37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1.404.302,86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Máquinas, Instalações e Utensílios de Escritório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245.593,47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-195.533,67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50.059,80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57.379,62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83.554,96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Aparelhos e Equipamentos de Medição e Orientação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421.399,99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-208.692,18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212.707,81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240.427,39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98.708,95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Terrenos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30.134,70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30.134,70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30.134,70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30.134,70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Edificações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123.309,16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-85.207,68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38.101,48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38.675,86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40.399,00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Benfeitoria em Imóveis de Terceiros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146.858,96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-124.438,29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22.420,67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23.381,90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26.265,59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7.117.304,81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-4.649.573,51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2.467.731,30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2.400.086,33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2.166.324,36</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13.5.2.1. Mediante processo licitatório, foram adquiridos 60 (sessenta) microcomputadores, conforme Processo nº 202500031001878.</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13.6. Intangível, totalizando R$ 5.058.314,77 (cinco milhões, cinquenta e oito mil trezentos e quatorze reais e setenta e sete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13.6.1. No grupo do Intangível estão classificados os sistemas operacionais (softwares), correspondentes a licenças de uso por prazo indeterminado (“perpétuas”), adquiridas no exercício de 2016 e implantadas ao longo do ano de 2017, contemplando sistemas corporativos integrados de ERP nas áreas contábil, financeira, departamento pessoal e almoxarifado. A amortização é calculada pelo método linear, com base na vida útil econômica estimada dos ativos, sendo as despesas relacionadas à manutenção reconhecidas no resultado quando incorridas.</w:t>
      </w:r>
    </w:p>
    <w:tbl>
      <w:tblPr>
        <w:tblW w:w="175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36"/>
        <w:gridCol w:w="2470"/>
        <w:gridCol w:w="2585"/>
        <w:gridCol w:w="3543"/>
        <w:gridCol w:w="3543"/>
        <w:gridCol w:w="3543"/>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lastRenderedPageBreak/>
              <w:t>Contas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Aquisições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Amortização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Líquido 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Líquido 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Líquido 31/03/2025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Software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7.840.497,58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-2.782.182,81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5.058.314,77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4.626.364,72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3.348.548,58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7.840.497,58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-2.782.182,81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5.058.314,77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4.626.364,72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3.348.548,58</w:t>
            </w:r>
          </w:p>
        </w:tc>
      </w:tr>
    </w:tbl>
    <w:p w:rsidR="005F1569" w:rsidRPr="005F1569" w:rsidRDefault="005F1569" w:rsidP="005F1569">
      <w:pPr>
        <w:spacing w:after="0" w:line="240" w:lineRule="auto"/>
        <w:rPr>
          <w:rFonts w:ascii="Times New Roman" w:eastAsia="Times New Roman" w:hAnsi="Times New Roman" w:cs="Times New Roman"/>
          <w:vanish/>
          <w:sz w:val="24"/>
          <w:szCs w:val="24"/>
          <w:lang w:eastAsia="pt-BR"/>
        </w:rPr>
      </w:pPr>
    </w:p>
    <w:tbl>
      <w:tblPr>
        <w:tblW w:w="140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040"/>
      </w:tblGrid>
      <w:tr w:rsidR="005F1569" w:rsidRPr="005F1569" w:rsidTr="005F1569">
        <w:tc>
          <w:tcPr>
            <w:tcW w:w="0" w:type="auto"/>
            <w:vAlign w:val="center"/>
            <w:hideMark/>
          </w:tcPr>
          <w:p w:rsidR="005F1569" w:rsidRPr="005F1569" w:rsidRDefault="005F1569" w:rsidP="005F1569">
            <w:pPr>
              <w:spacing w:after="0" w:line="240" w:lineRule="auto"/>
              <w:rPr>
                <w:rFonts w:ascii="Times New Roman" w:eastAsia="Times New Roman" w:hAnsi="Times New Roman" w:cs="Times New Roman"/>
                <w:sz w:val="24"/>
                <w:szCs w:val="24"/>
                <w:lang w:eastAsia="pt-BR"/>
              </w:rPr>
            </w:pP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13.6.1.1. Contratação da empresa Logiks Consultoria e Serviços em Tecnologia da Informação Ltda, conforme Processo nº 2022000310004166, para prestação de serviços de desenvolvimento e manutenção de sistemas internos da entidade.</w:t>
      </w:r>
    </w:p>
    <w:p w:rsidR="005F1569" w:rsidRPr="005F1569" w:rsidRDefault="005F1569" w:rsidP="005F1569">
      <w:pPr>
        <w:spacing w:before="100" w:beforeAutospacing="1" w:after="100" w:afterAutospacing="1" w:line="240" w:lineRule="auto"/>
        <w:jc w:val="both"/>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PASSIVO</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PASSIVO CIRCULANTE</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14. Obrigações Trabalhistas, Previdenciárias e Tributárias, totalizando R$ 4.232.430,88 (quatro milhões, duzentos e trinta e dois mil quatrocentos e trinta reais e oitenta e oito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14.1. Referem-se aos valores provisionados decorrentes da folha de pagamento, abrangendo valores descontados dos servidores relativos a empréstimos consignados, contribuições previdenciárias, Fundo de Garantia do Tempo de Serviço (FGTS), retenções de tributos federais e municipais, bem como ISS, PIS e COFINS, os quais serão recolhidos nos períodos subsequentes, em observância ao regime de competência.</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038"/>
        <w:gridCol w:w="1894"/>
        <w:gridCol w:w="1894"/>
        <w:gridCol w:w="1894"/>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Contas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Obrigações Trabalhistas e Consignações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246.854,37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207.618,73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162.993,03</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Salários a Pagar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1.129,02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Férias a Pagar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6.361,11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Empréstimo Consignado/Crédito ao Trabalhador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73.963,55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61.785,63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46.465,40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Conselhos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1.507,64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Contribuições Sindicais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Empregados Cedidos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170.234,16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139.471,99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112.166,93</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Contas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Obrigações Sociais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2.937.385,49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2.423.417,76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2.195.471,03</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Contribuição Previdenciária - INSS a Recolher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1.061.142,44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1.121.076,34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1.024.841,68</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INSS a Recolher - Serviços Terceirizados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1.629.950,82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1.035.773,36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923.529,50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FGTS a Recolher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246.292,23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266.568,06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247.099,85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lastRenderedPageBreak/>
              <w:t>Contas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Obrigações Tributárias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1.048.191,02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1.613.060,30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620.120,87</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IRRF a Recolher - Empregados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525.191,82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1.102.084,81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487.306,77</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IRRF a Recolher - Terceiros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84.636,47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98.092,07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14.386,88</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ISS Próprio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78,00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95,50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76,00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ISS - Terceiros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81.673,51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1.379,56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14.816,61</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PIS/COFINS/CSLL  Terceiros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298.759,91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355.160,19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58.019,52</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PIS - Não Cumulativo a Recolher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5.184,62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6.851,60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4.911,42</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COFINS  Não Cumulativo a Recolher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28.488,51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37.317,91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23.740,57</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Retenções - Cooperativa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24.178,18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12.078,66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16.863,10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4.232.430,88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4.244.096,79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2.978.584,93</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15. Contas a Pagar, totalizando R$ 23.063.272,03 (vinte e três milhões, sessenta e três mil duzentos e setenta e dois reais e três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15.1. As contas a pagar a fornecedores correspondem às obrigações decorrentes da aquisição de bens, materiais e serviços no curso normal das operações, sendo classificadas no passivo circulante, exceto aquelas com vencimento superior a 12 (doze) meses após a data do balanço, as quais são apresentadas no passivo não circulante.</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15.2. Os saldos registrados em contas a pagar a fornecedores estão demonstrados pelos respectivos valores de liquidação, os quais se aproximam de seus valores justos em razão do curto prazo das operações contratadas. Não há histórico relevante de atrasos nos pagamentos, inexistindo, consequentemente, incidência significativa de juros, multas ou demais encargos financeiros.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15.3. Considerando o fluxo financeiro estabelecido pelas normas aplicáveis à execução orçamentária, financeira e contábil do Estado de Goiás, os valores registrados em contas a pagar referem-se às obrigações assumidas junto a fornecedores de bens, materiais e serviços relacionados à execução de programas habitacionais, obras em andamento, contratos administrativos e demais atividades operacionais, cujos pagamentos serão efetuados em períodos subsequentes, de acordo com os respectivos cronogramas físico-financeiro, disponibilidade orçamentária e liberação dos recursos financeiros.</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729"/>
        <w:gridCol w:w="2046"/>
        <w:gridCol w:w="1899"/>
        <w:gridCol w:w="2046"/>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Contas a Pagar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Fornecedores de Bens e Serviços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20.357.231,23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423.503,67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9.542.953,14</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Fornecedores de Bens e Serviços a faturar (a)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2.663.653,30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2.562.783,08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779.821,55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lastRenderedPageBreak/>
              <w:t>Diárias a Pagar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42.387,50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74.990,00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32.131,25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23.063.272,03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3.061.276,75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10.354.905,94</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 Os valores contabilizados na conta contábil Fornecedores de Bens e Serviços a Faturar referem-se às provisões constituídas com base no regime de competência, correspondentes às obrigações decorrentes de bens entregues e serviços efetivamente prestados até a data do balanço em 31/03/2026.</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16. Provisões Trabalhistas, totalizando R$ 7.614.499,38 (sete milhões, seiscentos e quatorze mil quatrocentos e noventa e nove reais e trinta e oito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16.1. Provisões Trabalhistas – Referem-se aos registros das provisões de 13º salário, férias e adicional constitucional de 1/3 de férias, acrescidas dos respectivos encargos sociais incidentes, tais como Contribuição Previdenciária e FGTS. As provisões são constituídas em observância ao regime de competência, reconhecendo-se as obrigações trabalhistas à medida da prestação dos serviços pelos empregados, sendo revertidas por ocasião do pagamento ou do efetivo gozo das férias.</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196"/>
        <w:gridCol w:w="2508"/>
        <w:gridCol w:w="2508"/>
        <w:gridCol w:w="2508"/>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Provisões Trabalhistas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Provisões de 13º Salário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1.023.345,45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993.535,70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Provisões de Férias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6.591.153,93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6.920.347,49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5.877.558,83</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7.614.499,38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6.920.347,49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6.871.094,53</w:t>
            </w:r>
          </w:p>
        </w:tc>
      </w:tr>
    </w:tbl>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17. Subvenção Governamental a Realizar, totalizando R$ 138.294.257,31 (cento e trinta e oito milhões, duzentos e noventa e quatro mil duzentos e cinquenta e sete reais e trinta e um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17.1. Os valores registrados como Subvenção Governamental em 31/03/2026 totalizam R$ 138.294.257,31 (cento e trinta e oito milhões, duzentos e noventa e quatro mil, duzentos e cinquenta e sete reais e trinta e um centavos), conforme demonstrado.</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260"/>
        <w:gridCol w:w="1862"/>
        <w:gridCol w:w="1862"/>
        <w:gridCol w:w="1736"/>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Subvenção Governamental a Realizar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Restos a Pagar - Fonte Orçamentária PROTEGE (a)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116.629.303,37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211.470.374,54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70.752.230,52</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Saldo Financeiro  Fonte Orçamentária Recurso Ordinário (b)</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1.244.151,79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7.511.006,17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6.232.196,88</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Recursos Convênio FAR/Fonte Orçamentária PROTEGE (c)</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20.420.802,15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32.724.265,61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lastRenderedPageBreak/>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138.294.257,31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251.705.646,32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76.984.427,40</w:t>
            </w:r>
          </w:p>
        </w:tc>
      </w:tr>
    </w:tbl>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 Em relação às movimentações financeiras dos Restos a Pagar (RAP) acumulados – Fonte PROTEGE, em 31/03/2026, foram utilizados valores no montante de R$ 64.694.037,63 (sessenta e quatro milhões, seiscentos e noventa e quatro mil, trinta e sete reais e sessenta e três centavos), incluindo os empenhos cancelados no período, conforme demonstrado. Após a apuração, verificou-se saldo em estoque de R$ 116.629.303,37 (cento e dezesseis milhões, seiscentos e vinte e nove mil, trezentos e três reais e trinta e sete centavos).</w:t>
      </w:r>
    </w:p>
    <w:tbl>
      <w:tblPr>
        <w:tblW w:w="1088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638"/>
        <w:gridCol w:w="3242"/>
      </w:tblGrid>
      <w:tr w:rsidR="005F1569" w:rsidRPr="005F1569" w:rsidTr="005F1569">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Saldos utilizados 01/01 a 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64.694.037,63</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Construção de UH</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60.772.607,25</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Regularização Fundiária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27.486,55</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Reforma UH</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839.999,00</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Empenhos Cancelados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3.053.944,83</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b)  Refere-se aos Restos a Pagar (RAP) – Fonte Recurso Ordinário do Estado de Goiás, destinados ao pagamento da folha de pessoal e à manutenção administrativa da AGEHAB.</w:t>
      </w:r>
    </w:p>
    <w:tbl>
      <w:tblPr>
        <w:tblW w:w="735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125"/>
        <w:gridCol w:w="3229"/>
      </w:tblGrid>
      <w:tr w:rsidR="005F1569" w:rsidRPr="005F1569" w:rsidTr="005F1569">
        <w:trPr>
          <w:trHeight w:val="300"/>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Fonte Orçamentária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Valor</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15000100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1.244.151,79</w:t>
            </w:r>
          </w:p>
        </w:tc>
      </w:tr>
    </w:tbl>
    <w:p w:rsidR="005F1569" w:rsidRPr="005F1569" w:rsidRDefault="005F1569" w:rsidP="005F1569">
      <w:pPr>
        <w:spacing w:after="0" w:line="240" w:lineRule="auto"/>
        <w:rPr>
          <w:rFonts w:ascii="Times New Roman" w:eastAsia="Times New Roman" w:hAnsi="Times New Roman" w:cs="Times New Roman"/>
          <w:vanish/>
          <w:sz w:val="24"/>
          <w:szCs w:val="24"/>
          <w:lang w:eastAsia="pt-BR"/>
        </w:rPr>
      </w:pPr>
    </w:p>
    <w:tbl>
      <w:tblPr>
        <w:tblW w:w="903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72"/>
        <w:gridCol w:w="7163"/>
      </w:tblGrid>
      <w:tr w:rsidR="005F1569" w:rsidRPr="005F1569" w:rsidTr="005F1569">
        <w:trPr>
          <w:trHeight w:val="300"/>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R$    4.104.653,21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Subvenção Governamental(Custeio)</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328.773,97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Subvenção Governamental (Custeio) - Construção de Unidades Habitacionais </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957.678,27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Subvenção Governamental(Custeio) para aquisição de Ativos</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875.748,93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Empenhos Cancelados</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6.266.854,38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TOTAL</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1.244.151,79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RAP em 31/03/2026</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c)  Refere-se aos valores repassados pelo Fundo PROTEGE, por meio do Tesouro do Estado de Goiás, depositados em contas bancárias específicas em nome da Agência Goiana de Habitação S/A – AGEHAB, em decorrência dos convênios celebrados com a Caixa Econômica Federal/Fundo FAR para construção de 1.488 (um mil, quatrocentas e oitenta e oito) Unidades Habitacionais, conforme demonstrado.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c.1) Os recursos estão contabilizados no Passivo Circulante e serão transferidos para as contas de resultado de acordo com a execução e pagamento das medições das obras.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lastRenderedPageBreak/>
        <w:t>c.2) Em 31 de março de 2026, foi apurado o montante de R$ 20.420.802,15 (vinte milhões, quatrocentos e vinte mil, oitocentos e dois reais e quinze centavos) em contas bancárias específicas, incluído os rendimentos financeiros das respectivas contas bancárias. No período de 01/01/2026 a 31/03/2026, foram registradas medições no valor total de R$ 9.238.363,63 (nove milhões, duzentos e trinta e oito mil, trezentos e sessenta e três reais e sessenta e três centavos).</w:t>
      </w:r>
    </w:p>
    <w:tbl>
      <w:tblPr>
        <w:tblW w:w="1634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1"/>
        <w:gridCol w:w="3685"/>
        <w:gridCol w:w="1475"/>
        <w:gridCol w:w="581"/>
        <w:gridCol w:w="1830"/>
        <w:gridCol w:w="2296"/>
        <w:gridCol w:w="1836"/>
        <w:gridCol w:w="2390"/>
        <w:gridCol w:w="1861"/>
      </w:tblGrid>
      <w:tr w:rsidR="005F1569" w:rsidRPr="005F1569" w:rsidTr="005F1569">
        <w:trPr>
          <w:trHeight w:val="240"/>
          <w:tblHeader/>
        </w:trPr>
        <w:tc>
          <w:tcPr>
            <w:tcW w:w="0" w:type="auto"/>
            <w:gridSpan w:val="9"/>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CONVÊNIOS CEF/FAR RECURSOS FINANCEIROS PROTEGE EM 31/03/2026</w:t>
            </w:r>
          </w:p>
        </w:tc>
      </w:tr>
      <w:tr w:rsidR="005F1569" w:rsidRPr="005F1569" w:rsidTr="005F1569">
        <w:trPr>
          <w:trHeight w:val="48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nº</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Empreendimento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nº Contrato AGEHAB</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UH</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Valor Contratado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InfraInterna(Obras Incidentes)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Valor Medido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Rendimentos Financeiros (2026)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SALDO EM CONTA</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VILLA ROMANA - APARECIDA DE GOIÂNIA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08/2025 / AGEHAB</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8.814.424,50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6.650.732,92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6.451.210,94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28.770,77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               228.292,75</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RESIDENCIAL IRIS REZENDE IV - CONJUNTO VERA CRUZ</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09/2025 / AGEHAB</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240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9.507.054,80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7.850.373,41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6.612.369,53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62.075,52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            1.300.079,40</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RESIDENCIAL ALTO DA BOA VISTA I - APARECIDA DE GOIÂNIA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11/2025 / AGEHAB</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8.827.342,69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7.546.838,80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4.193.023,65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132.770,54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            3.486.585,69</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RESIDENCIAL ALTO DA BOA VISTA III - APARECIDA DE GOIÂNIA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13/2025 / AGEHAB</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8.824.908,87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7.544.404,98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4.865.386,77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104.578,76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            2.783.596,97</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RESIDENCIAL IRIS REZENDE V - CONJUNTO VERA CRUZ</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07/2025 / AGEHAB</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256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9.636.641,58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7.702.095,06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4.112.148,55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128.948,72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            3.718.895,23</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RESIDENCIAL IRIS REZENDE VI - CONJUNTO VERA CRUZ</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10/2025 / AGEHAB</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10.297.433,36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7.665.638,52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918.343,48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199.598,39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            6.946.893,43</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RESIDENCIAL ALTO DA BOA VISTA II - APARECIDA DE GOIÂNIA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12/2025 / AGEHAB</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8.815.815,29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7.535.311,40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5.650.730,02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71.877,30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            1.956.458,68</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1488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         64.723.621,09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         52.495.395,09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         32.803.212,94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               728.620,00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         20.420.802,15</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18. Créditos para Recursos Vinculados, totalizando R$ 4.769.728,66 (quatro milhões, setecentos e sessenta e nove mil setecentos e vinte e oito reais e sessenta e seis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lastRenderedPageBreak/>
        <w:t>18.1. Os Créditos são Recursos Vinculados à Fonte Orçamentária Convênios Federais referente aos contratos de parcerias União/CEF com utilização de recurso do FGTS para subsidiar construção de Unidades Habitacionais, Equipamentos Comunitários e pagamentos de serviços sociais.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18.2. São saldos financeiros vinculados aos Convênios ativos às Contas Correntes, Aplicações Financeiras e Poupança referente aos termos de Cooperação e Parceira CAIXA para construção dos empreendimentos João Paulo II,  Trabalho Social e Gestão Condominial do Nelson Mandela, que serão baixados conforme a utilização dos mesmos.</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824"/>
        <w:gridCol w:w="1632"/>
        <w:gridCol w:w="1632"/>
        <w:gridCol w:w="1632"/>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Créditos para Recursos Vinculados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Programas Construção Unidades Habitacionais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4.393.597,28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4.318.869,30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4.021.572,17</w:t>
            </w:r>
          </w:p>
        </w:tc>
      </w:tr>
      <w:tr w:rsidR="005F1569" w:rsidRPr="005F1569" w:rsidTr="005F1569">
        <w:trPr>
          <w:trHeight w:val="36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Convênio Ministério das Cidades e Caixa Econômica Federal/FAR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376.131,38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368.598,86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347.141,57</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4.769.728,66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4.687.468,16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4.368.713,74</w:t>
            </w:r>
          </w:p>
        </w:tc>
      </w:tr>
    </w:tbl>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PASSIVO NÃO-CIRCULANTE</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19. PASSIVOS CONTINGENTES, Totalizando R$ 1.040.737,17 (um milhão, quarenta mil setecentos e trinta e sete reais e dezessete centavos)</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PASSIVO PROVÁVEL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19.1. A AGEHAB é parte integrante de diversos processos com causas cíveis, trabalhistas classificadas como prováveis de perdas pela Procuradoria Jurídica, devidamente provisionadas de acordo com o Comitê de Pronunciamento Contábil nº 25.</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 Refere–se há 22 (Vinte e Dois) Processos Judiciais classificados como PASSIVO PROVÁVEL, sendo 20 (Vinte) Processos Cíveis e 02(Dois) Processos Fiscais. Processo 202200031006938.</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927"/>
        <w:gridCol w:w="1931"/>
        <w:gridCol w:w="1931"/>
        <w:gridCol w:w="1931"/>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Provisões para Contingências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Provisões para Contingências Processos Cíveis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807.000,00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807.000,00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2.088.000,00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Provisões para Contingências Processos Fiscais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233.737,17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240.000,00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1.040.737,17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1.047.000,00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2.088.000,00</w:t>
            </w:r>
          </w:p>
        </w:tc>
      </w:tr>
    </w:tbl>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20. PASSIVO POSSÍVEL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lastRenderedPageBreak/>
        <w:t>20.1. A AGEHAB é parte integrante em 212 ( Duzentos e Doze)</w:t>
      </w:r>
      <w:r w:rsidRPr="005F1569">
        <w:rPr>
          <w:rFonts w:ascii="Calibri" w:eastAsia="Times New Roman" w:hAnsi="Calibri" w:cs="Calibri"/>
          <w:b/>
          <w:bCs/>
          <w:color w:val="000000"/>
          <w:sz w:val="27"/>
          <w:szCs w:val="27"/>
          <w:lang w:eastAsia="pt-BR"/>
        </w:rPr>
        <w:t> </w:t>
      </w:r>
      <w:r w:rsidRPr="005F1569">
        <w:rPr>
          <w:rFonts w:ascii="Calibri" w:eastAsia="Times New Roman" w:hAnsi="Calibri" w:cs="Calibri"/>
          <w:color w:val="000000"/>
          <w:sz w:val="27"/>
          <w:szCs w:val="27"/>
          <w:lang w:eastAsia="pt-BR"/>
        </w:rPr>
        <w:t>processos cíveis, trabalhistas e fiscais classificadas como passivos (possíveis e remoto), conforme determina o CPC 25, totalizando o valor de R$ 11.573.252,79 (onze milhões, quinhentos e setenta e três mil duzentos e cinquenta e dois reais e setenta e nove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21. PATRIMÔNIO LÍQUIDO, TOTALIZANDO R$ 788.271.530,39 (setecentos e oitenta e oito milhões, duzentos e setenta e um mil quinhentos e trinta reais e trinta e nove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21.1a) O Patrimônio Líquido no valor de R$ 788.271.530,39 (setecentos e oitenta e oito milhões, duzentos e setenta e um mil quinhentos e trinta reais e trinta e nove centavos) em 31 de Março de 2026.</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21.1. Capital social subscrito e integralizado em 31 de Março de 2026 no valor de R$ 187.256.418,03</w:t>
      </w:r>
      <w:r w:rsidRPr="005F1569">
        <w:rPr>
          <w:rFonts w:ascii="Calibri" w:eastAsia="Times New Roman" w:hAnsi="Calibri" w:cs="Calibri"/>
          <w:b/>
          <w:bCs/>
          <w:color w:val="000000"/>
          <w:sz w:val="27"/>
          <w:szCs w:val="27"/>
          <w:lang w:eastAsia="pt-BR"/>
        </w:rPr>
        <w:t>, </w:t>
      </w:r>
      <w:r w:rsidRPr="005F1569">
        <w:rPr>
          <w:rFonts w:ascii="Calibri" w:eastAsia="Times New Roman" w:hAnsi="Calibri" w:cs="Calibri"/>
          <w:color w:val="000000"/>
          <w:sz w:val="27"/>
          <w:szCs w:val="27"/>
          <w:lang w:eastAsia="pt-BR"/>
        </w:rPr>
        <w:t>sendo ações ordinárias nominativas com valor unitário por ação de R$ 1,00 (um real), o valor a integralizar é de R$ 8.877.149,13, sendo capital subscrito de R$ 196.133.567,16.  O Governo do Estado de Goiás é acionista majoritário na AGEHAB, detém 196.043.399,42 (cento e noventa e seis milhões, quarenta e três mil trezentos e noventa e nove reais e quarenta e dois centavos) ações ordinárias nominativas que corresponde há 99,9540274% das ações, considerando a aquisição de 2.476 ações da empresas Saneamento de Goiás S/A em Agosto de 2025, processo 202200031000687.</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21.2.</w:t>
      </w:r>
      <w:r w:rsidRPr="005F1569">
        <w:rPr>
          <w:rFonts w:ascii="Calibri" w:eastAsia="Times New Roman" w:hAnsi="Calibri" w:cs="Calibri"/>
          <w:b/>
          <w:bCs/>
          <w:color w:val="000000"/>
          <w:sz w:val="27"/>
          <w:szCs w:val="27"/>
          <w:lang w:eastAsia="pt-BR"/>
        </w:rPr>
        <w:t> </w:t>
      </w:r>
      <w:r w:rsidRPr="005F1569">
        <w:rPr>
          <w:rFonts w:ascii="Calibri" w:eastAsia="Times New Roman" w:hAnsi="Calibri" w:cs="Calibri"/>
          <w:color w:val="000000"/>
          <w:sz w:val="27"/>
          <w:szCs w:val="27"/>
          <w:lang w:eastAsia="pt-BR"/>
        </w:rPr>
        <w:t>Constituída Reservas de LUCROS</w:t>
      </w:r>
      <w:r w:rsidRPr="005F1569">
        <w:rPr>
          <w:rFonts w:ascii="Calibri" w:eastAsia="Times New Roman" w:hAnsi="Calibri" w:cs="Calibri"/>
          <w:b/>
          <w:bCs/>
          <w:color w:val="000000"/>
          <w:sz w:val="27"/>
          <w:szCs w:val="27"/>
          <w:lang w:eastAsia="pt-BR"/>
        </w:rPr>
        <w:t> </w:t>
      </w:r>
      <w:r w:rsidRPr="005F1569">
        <w:rPr>
          <w:rFonts w:ascii="Calibri" w:eastAsia="Times New Roman" w:hAnsi="Calibri" w:cs="Calibri"/>
          <w:color w:val="000000"/>
          <w:sz w:val="27"/>
          <w:szCs w:val="27"/>
          <w:lang w:eastAsia="pt-BR"/>
        </w:rPr>
        <w:t>classificadas SUBVENÇÃO GOVERNAMENTAL PARA INVESTIMENTOS no valor de R$ 974.381.850,54 (novecentos e setenta e quatro milhões, trezentos e oitenta e um mil oitocentos e cinquenta reais e cinquenta e quatro centavos)</w:t>
      </w:r>
      <w:r w:rsidRPr="005F1569">
        <w:rPr>
          <w:rFonts w:ascii="Calibri" w:eastAsia="Times New Roman" w:hAnsi="Calibri" w:cs="Calibri"/>
          <w:b/>
          <w:bCs/>
          <w:color w:val="000000"/>
          <w:sz w:val="27"/>
          <w:szCs w:val="27"/>
          <w:lang w:eastAsia="pt-BR"/>
        </w:rPr>
        <w:t> </w:t>
      </w:r>
      <w:r w:rsidRPr="005F1569">
        <w:rPr>
          <w:rFonts w:ascii="Calibri" w:eastAsia="Times New Roman" w:hAnsi="Calibri" w:cs="Calibri"/>
          <w:color w:val="000000"/>
          <w:sz w:val="27"/>
          <w:szCs w:val="27"/>
          <w:lang w:eastAsia="pt-BR"/>
        </w:rPr>
        <w:t>referem-se aos valores transferidos via Lei Orçamentária Anual para execução das ações sociais do Programa Habitacional do Estado de Goiás administrados pela Agência Goiana de Habitação S/A, sendo transferidos para conta de reserva conforme artigo 30 da lei 12.973/2014 e assim excluído da Base de Cálculo do Imposto de Renda e da Contribuição Social conforme reforça o 4º do Ato Declaratório interpretativo RFB nº 4, de 04 de dezembro de 2024.</w:t>
      </w:r>
    </w:p>
    <w:tbl>
      <w:tblPr>
        <w:tblW w:w="940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197"/>
        <w:gridCol w:w="6208"/>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974.381.850,54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2021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13.485.425,67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lastRenderedPageBreak/>
              <w:t>2022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198.835.230,06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2023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414.195.854,48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2024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147.271.473,49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200.593.866,84</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21.3. Composição do Patrimônio Líquido:</w:t>
      </w:r>
    </w:p>
    <w:tbl>
      <w:tblPr>
        <w:tblW w:w="11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105"/>
        <w:gridCol w:w="2205"/>
        <w:gridCol w:w="2205"/>
        <w:gridCol w:w="2205"/>
      </w:tblGrid>
      <w:tr w:rsidR="005F1569" w:rsidRPr="005F1569" w:rsidTr="005F1569">
        <w:trPr>
          <w:trHeight w:val="28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PATRIMÔNIO LÍQUIDO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Capital Social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187.256.418,03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187.256.418,03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187.256.418,03</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Ações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187.256.418,03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187.256.418,03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187.256.418,03</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Integralizado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187.256.418,03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187.256.418,03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187.256.418,03</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Capital Subscrito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196.133.567,16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196.133.567,16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196.133.567,16</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Capital Subscrito a Integralizar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-8.877.149,13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-8.877.149,13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-8.877.149,13</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Reservas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974.381.850,54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974.381.850,54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773.787.983,70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Reservas de Lucros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974.381.850,54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974.381.850,54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773.787.983,70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Subvenção Governamental /Investimento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974.381.850,54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974.381.850,54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773.787.983,70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Resultado de Apuração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-373.365.102,18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-439.425.944,52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-408.685.972,46</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Prejuízos Acumulados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-373.365.102,18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-439.425.944,52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-408.685.972,46</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Ações em Tesouraria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-1.636,00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-1.636,00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-1.636,00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Ações em Tesouraria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-1.636,00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-1.636,00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-1.636,00</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788.271.530,39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722.210.688,05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552.356.793,27</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21.4. Ações em Tesouraria</w:t>
      </w:r>
      <w:r w:rsidRPr="005F1569">
        <w:rPr>
          <w:rFonts w:ascii="Calibri" w:eastAsia="Times New Roman" w:hAnsi="Calibri" w:cs="Calibri"/>
          <w:b/>
          <w:bCs/>
          <w:color w:val="000000"/>
          <w:sz w:val="27"/>
          <w:szCs w:val="27"/>
          <w:lang w:eastAsia="pt-BR"/>
        </w:rPr>
        <w:t> - </w:t>
      </w:r>
      <w:r w:rsidRPr="005F1569">
        <w:rPr>
          <w:rFonts w:ascii="Calibri" w:eastAsia="Times New Roman" w:hAnsi="Calibri" w:cs="Calibri"/>
          <w:color w:val="000000"/>
          <w:sz w:val="27"/>
          <w:szCs w:val="27"/>
          <w:lang w:eastAsia="pt-BR"/>
        </w:rPr>
        <w:t>Em Janeiro de 2024, a Agência Goiana de Habitação S/A adquiriu 1.636 ações ordinárias no valor de 1,00 (Um real) cada do Acionista Instituto de Assistência dos Servidores Públicos do Estado de Goiás – Ipasgo, conforme processo 20230003100380.</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both"/>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Nota 22. DEMONSTRAÇÃO DAS MUTAÇÕES DO PATRIMÔNIO LÍQUIDO (DMPL)</w:t>
      </w:r>
    </w:p>
    <w:tbl>
      <w:tblPr>
        <w:tblW w:w="15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418"/>
        <w:gridCol w:w="1558"/>
        <w:gridCol w:w="1590"/>
        <w:gridCol w:w="3863"/>
        <w:gridCol w:w="1968"/>
        <w:gridCol w:w="1879"/>
        <w:gridCol w:w="1444"/>
      </w:tblGrid>
      <w:tr w:rsidR="005F1569" w:rsidRPr="005F1569" w:rsidTr="005F1569">
        <w:trPr>
          <w:trHeight w:val="300"/>
        </w:trPr>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gridSpan w:val="2"/>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Capital Realizado Atualizado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Reservas de Lucros </w:t>
            </w:r>
          </w:p>
        </w:tc>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Resultado Acumulado</w:t>
            </w:r>
          </w:p>
        </w:tc>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Ações em Tesouraria</w:t>
            </w:r>
          </w:p>
        </w:tc>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 Geral</w:t>
            </w:r>
          </w:p>
        </w:tc>
      </w:tr>
      <w:tr w:rsidR="005F1569" w:rsidRPr="005F1569" w:rsidTr="005F1569">
        <w:trPr>
          <w:trHeight w:val="8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1569" w:rsidRPr="005F1569" w:rsidRDefault="005F1569" w:rsidP="005F1569">
            <w:pPr>
              <w:spacing w:after="0" w:line="240" w:lineRule="auto"/>
              <w:rPr>
                <w:rFonts w:ascii="Calibri" w:eastAsia="Times New Roman" w:hAnsi="Calibri" w:cs="Calibri"/>
                <w:color w:val="000000"/>
                <w:sz w:val="18"/>
                <w:szCs w:val="18"/>
                <w:lang w:eastAsia="pt-BR"/>
              </w:rPr>
            </w:pP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Capital Subscrito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Capital a Realizar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Subvenção Governamental para Investimento</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1569" w:rsidRPr="005F1569" w:rsidRDefault="005F1569" w:rsidP="005F1569">
            <w:pPr>
              <w:spacing w:after="0" w:line="240" w:lineRule="auto"/>
              <w:rPr>
                <w:rFonts w:ascii="Calibri" w:eastAsia="Times New Roman" w:hAnsi="Calibri" w:cs="Calibri"/>
                <w:color w:val="000000"/>
                <w:sz w:val="18"/>
                <w:szCs w:val="18"/>
                <w:lang w:eastAsia="pt-BR"/>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1569" w:rsidRPr="005F1569" w:rsidRDefault="005F1569" w:rsidP="005F1569">
            <w:pPr>
              <w:spacing w:after="0" w:line="240" w:lineRule="auto"/>
              <w:rPr>
                <w:rFonts w:ascii="Calibri" w:eastAsia="Times New Roman" w:hAnsi="Calibri" w:cs="Calibri"/>
                <w:color w:val="000000"/>
                <w:sz w:val="18"/>
                <w:szCs w:val="18"/>
                <w:lang w:eastAsia="pt-BR"/>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F1569" w:rsidRPr="005F1569" w:rsidRDefault="005F1569" w:rsidP="005F1569">
            <w:pPr>
              <w:spacing w:after="0" w:line="240" w:lineRule="auto"/>
              <w:rPr>
                <w:rFonts w:ascii="Calibri" w:eastAsia="Times New Roman" w:hAnsi="Calibri" w:cs="Calibri"/>
                <w:color w:val="000000"/>
                <w:sz w:val="18"/>
                <w:szCs w:val="18"/>
                <w:lang w:eastAsia="pt-BR"/>
              </w:rPr>
            </w:pP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Saldo em 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196.133.567,16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(8.877.149,13)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974.381.850,54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(439.425.944,52)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(1.636,00)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722.210.688,05</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Capital Subscrito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Capital a Realizar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Subvenção Governamental/Investimento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lastRenderedPageBreak/>
              <w:t>Ajuste de Exercícios Anteriores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Resultado do Exercício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66.060.842,34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66.060.842,34</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Ações Em Tesouraria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Saldo em 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196.133.567,16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(8.877.149,13)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974.381.850,54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(373.365.102,18)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(1.636,00)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788.271.530,39</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22.1. O Resultado Apurado de 01/01/2026 a 31/03/2026 da Agência Goiana de Habitação S/A é de R$ 66.060.842,34 (sessenta e seis milhões, sessenta mil oitocentos e quarenta e dois reais e trinta e quatro centavos) conforme Demonstração do Resultado do Exercício (DRE).</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23. DEMONSTRAÇÃO DO RESULTADO DO EXERCÍCIO (DRE)</w:t>
      </w:r>
    </w:p>
    <w:p w:rsidR="005F1569" w:rsidRPr="005F1569" w:rsidRDefault="005F1569" w:rsidP="005F1569">
      <w:pPr>
        <w:spacing w:before="100" w:beforeAutospacing="1" w:after="100" w:afterAutospacing="1" w:line="240" w:lineRule="auto"/>
        <w:jc w:val="both"/>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23.1. RECEITA OPERACIONAL BRUTA totalizando R$ 1.474.711,78 (um milhão, quatrocentos e setenta e quatro mil setecentos e onze reais e setenta e oito centavos) e RECEITA OPERACIONAL LÍQUIDA totalizando R$ 945.211,73 (novecentos e quarenta e cinco mil duzentos e onze reais e setenta e três centavos)</w:t>
      </w:r>
    </w:p>
    <w:tbl>
      <w:tblPr>
        <w:tblW w:w="128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722"/>
        <w:gridCol w:w="979"/>
        <w:gridCol w:w="1982"/>
        <w:gridCol w:w="2155"/>
        <w:gridCol w:w="1982"/>
      </w:tblGrid>
      <w:tr w:rsidR="005F1569" w:rsidRPr="005F1569" w:rsidTr="005F1569">
        <w:trPr>
          <w:trHeight w:val="300"/>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Nota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RECEITA OPERACIONAL BRUTA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23.1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1.474.711,78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14.018.682,89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1.907.707,22</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Receitas Bruta de Serviço  (a)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1.281.448,31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5.060.015,14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1.211.230,21</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Receita de Alienação de Bens Imóveis (b)</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193.263,47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8.958.667,75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696.477,01</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(-)Impostos Incidentes e Desvinculações  (c)</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23.1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(529.500,05)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(1.966.186,90)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(174.232,30)</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 RECEITA OPERACIONAL LÍQUIDA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23.1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945.211,73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12.052.495,99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1.733.474,92</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23.1.1. Através da</w:t>
      </w:r>
      <w:r w:rsidRPr="005F1569">
        <w:rPr>
          <w:rFonts w:ascii="Calibri" w:eastAsia="Times New Roman" w:hAnsi="Calibri" w:cs="Calibri"/>
          <w:b/>
          <w:bCs/>
          <w:color w:val="000000"/>
          <w:sz w:val="27"/>
          <w:szCs w:val="27"/>
          <w:lang w:eastAsia="pt-BR"/>
        </w:rPr>
        <w:t> </w:t>
      </w:r>
      <w:r w:rsidRPr="005F1569">
        <w:rPr>
          <w:rFonts w:ascii="Calibri" w:eastAsia="Times New Roman" w:hAnsi="Calibri" w:cs="Calibri"/>
          <w:color w:val="000000"/>
          <w:sz w:val="27"/>
          <w:szCs w:val="27"/>
          <w:lang w:eastAsia="pt-BR"/>
        </w:rPr>
        <w:t>Nota Técnica nº: 3/2025/AGEHAB/NFCT-20038(</w:t>
      </w:r>
      <w:hyperlink r:id="rId37" w:tgtFrame="_blank" w:history="1">
        <w:r w:rsidRPr="005F1569">
          <w:rPr>
            <w:rFonts w:ascii="Calibri" w:eastAsia="Times New Roman" w:hAnsi="Calibri" w:cs="Calibri"/>
            <w:color w:val="0000FF"/>
            <w:sz w:val="27"/>
            <w:szCs w:val="27"/>
            <w:u w:val="single"/>
            <w:lang w:eastAsia="pt-BR"/>
          </w:rPr>
          <w:t>70236446</w:t>
        </w:r>
      </w:hyperlink>
      <w:r w:rsidRPr="005F1569">
        <w:rPr>
          <w:rFonts w:ascii="Calibri" w:eastAsia="Times New Roman" w:hAnsi="Calibri" w:cs="Calibri"/>
          <w:color w:val="000000"/>
          <w:sz w:val="27"/>
          <w:szCs w:val="27"/>
          <w:lang w:eastAsia="pt-BR"/>
        </w:rPr>
        <w:t>) Processo 202500031000850 tendo como objetivo revisão das práticas contábeis na Agência Goiana de Habitação S/A- AGEHAB, considera-se como </w:t>
      </w:r>
      <w:r w:rsidRPr="005F1569">
        <w:rPr>
          <w:rFonts w:ascii="Calibri" w:eastAsia="Times New Roman" w:hAnsi="Calibri" w:cs="Calibri"/>
          <w:b/>
          <w:bCs/>
          <w:color w:val="000000"/>
          <w:sz w:val="27"/>
          <w:szCs w:val="27"/>
          <w:lang w:eastAsia="pt-BR"/>
        </w:rPr>
        <w:t>Receita Operacional Bruta</w:t>
      </w:r>
      <w:r w:rsidRPr="005F1569">
        <w:rPr>
          <w:rFonts w:ascii="Calibri" w:eastAsia="Times New Roman" w:hAnsi="Calibri" w:cs="Calibri"/>
          <w:color w:val="000000"/>
          <w:sz w:val="27"/>
          <w:szCs w:val="27"/>
          <w:lang w:eastAsia="pt-BR"/>
        </w:rPr>
        <w:t>, as seguintes movimentações: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 Receita Bruta de Serviço refere-se ao contrato de prestação de Serviço com o Estado de Goiás para administrar a Carteira Habitacional do Estado de Goiás, conforme Contrato (</w:t>
      </w:r>
      <w:hyperlink r:id="rId38" w:tgtFrame="_blank" w:history="1">
        <w:r w:rsidRPr="005F1569">
          <w:rPr>
            <w:rFonts w:ascii="Calibri" w:eastAsia="Times New Roman" w:hAnsi="Calibri" w:cs="Calibri"/>
            <w:color w:val="0000FF"/>
            <w:sz w:val="27"/>
            <w:szCs w:val="27"/>
            <w:u w:val="single"/>
            <w:lang w:eastAsia="pt-BR"/>
          </w:rPr>
          <w:t>70408596</w:t>
        </w:r>
      </w:hyperlink>
      <w:r w:rsidRPr="005F1569">
        <w:rPr>
          <w:rFonts w:ascii="Calibri" w:eastAsia="Times New Roman" w:hAnsi="Calibri" w:cs="Calibri"/>
          <w:color w:val="000000"/>
          <w:sz w:val="27"/>
          <w:szCs w:val="27"/>
          <w:lang w:eastAsia="pt-BR"/>
        </w:rPr>
        <w:t>) e Termo Aditivo(</w:t>
      </w:r>
      <w:hyperlink r:id="rId39" w:tgtFrame="_blank" w:history="1">
        <w:r w:rsidRPr="005F1569">
          <w:rPr>
            <w:rFonts w:ascii="Calibri" w:eastAsia="Times New Roman" w:hAnsi="Calibri" w:cs="Calibri"/>
            <w:color w:val="0000FF"/>
            <w:sz w:val="27"/>
            <w:szCs w:val="27"/>
            <w:u w:val="single"/>
            <w:lang w:eastAsia="pt-BR"/>
          </w:rPr>
          <w:t>000038099866</w:t>
        </w:r>
      </w:hyperlink>
      <w:r w:rsidRPr="005F1569">
        <w:rPr>
          <w:rFonts w:ascii="Calibri" w:eastAsia="Times New Roman" w:hAnsi="Calibri" w:cs="Calibri"/>
          <w:color w:val="000000"/>
          <w:sz w:val="27"/>
          <w:szCs w:val="27"/>
          <w:lang w:eastAsia="pt-BR"/>
        </w:rPr>
        <w:t>) e prestação de serviço registros documentais.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lastRenderedPageBreak/>
        <w:t>b) Receita de Alienação de Bens Imóveis especificamente venda de Terrenos cujos valores recebidos referem-se à fração da comercialização de Unidades Habitacionais situado no Vera Cruz em Goiânia/Goiás empreendimento Iris Rezende III.</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c) Os impostos Incidentes sobre a Receita são ISS – Imposto sobre serviço, PIS – Programa de Integração Social, COFINS – Contribuição para Fins da Seguridade Social, apurados sobre a Receita Bruta de Serviços e as Desvinculações da Receita Estadual conforme art. 39 do Ato das Disposições Constitucionais Transitórias, da Constituição Estadual, o qual estabelece a desvinculação de 30% (trinta por cento) das receitas vinculadas a órgãos e entidades, fundos ou despesa, por força da Emenda à Constituição Estadual de Goiás nº 78/2023.</w:t>
      </w:r>
    </w:p>
    <w:tbl>
      <w:tblPr>
        <w:tblW w:w="93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35"/>
        <w:gridCol w:w="5831"/>
        <w:gridCol w:w="1474"/>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Receitas Bruta Operacional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1.474.711,78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3.1.01.01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Receita Bruta de Serviços - Recurso Arrecadado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1.281.448,31</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3.1.01.01.001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Receitas Bruta de Serviços - Recurso Arrecadado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1.281.448,31</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3.1.01.01.001.0001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Receita Gestão da Carteira Imobiliária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1.276.898,31</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3.1.01.01.001.0002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Receita Tarifas de Expediente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4.550,00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3.1.01.02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Outras Receitas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193.263,47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3.1.01.02.003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Outras Receitas Operacionais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193.263,47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3.1.01.02.003.0008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Alienação de Bens Imóveis Terrenos destinados à edificações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193.263,47</w:t>
            </w:r>
          </w:p>
        </w:tc>
      </w:tr>
    </w:tbl>
    <w:p w:rsidR="005F1569" w:rsidRPr="005F1569" w:rsidRDefault="005F1569" w:rsidP="005F1569">
      <w:pPr>
        <w:spacing w:before="120" w:after="120" w:line="240" w:lineRule="auto"/>
        <w:ind w:left="120" w:right="120" w:firstLine="1699"/>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23.2. SUBVENÇÕES GOVERNAMENTAIS, totalizando R$ 137.863.947,52 (cento e trinta e sete milhões, oitocentos e sessenta e três mil novecentos e quarenta e sete reais e cinquenta e dois centavos)</w:t>
      </w:r>
    </w:p>
    <w:tbl>
      <w:tblPr>
        <w:tblW w:w="128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777"/>
        <w:gridCol w:w="754"/>
        <w:gridCol w:w="1763"/>
        <w:gridCol w:w="1763"/>
        <w:gridCol w:w="1763"/>
      </w:tblGrid>
      <w:tr w:rsidR="005F1569" w:rsidRPr="005F1569" w:rsidTr="005F1569">
        <w:trPr>
          <w:trHeight w:val="300"/>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Nota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OUTRAS RECEITAS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23.2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137.863.947,52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730.456.860,77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118.739.954,31</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SUBVENÇÃO GOVERNAMENTAL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137.863.947,52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730.456.860,77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118.739.954,31</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Subvenção de Custeio  - Recursos Tesouro Estadual  (a)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22.019.854,50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87.791.894,10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16.094.665,82</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Subvenção Programas Habitacionais - Recursos Tesouro Estadual  (b)</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115.824.949,72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642.018.075,74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102.498.006,15</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Subvenção Programas Habitacionais - Recursos União  (c)</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19.143,30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646.890,93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147.282,34</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23.2.1. Através da</w:t>
      </w:r>
      <w:r w:rsidRPr="005F1569">
        <w:rPr>
          <w:rFonts w:ascii="Calibri" w:eastAsia="Times New Roman" w:hAnsi="Calibri" w:cs="Calibri"/>
          <w:b/>
          <w:bCs/>
          <w:color w:val="000000"/>
          <w:sz w:val="27"/>
          <w:szCs w:val="27"/>
          <w:lang w:eastAsia="pt-BR"/>
        </w:rPr>
        <w:t> </w:t>
      </w:r>
      <w:r w:rsidRPr="005F1569">
        <w:rPr>
          <w:rFonts w:ascii="Calibri" w:eastAsia="Times New Roman" w:hAnsi="Calibri" w:cs="Calibri"/>
          <w:color w:val="000000"/>
          <w:sz w:val="27"/>
          <w:szCs w:val="27"/>
          <w:lang w:eastAsia="pt-BR"/>
        </w:rPr>
        <w:t>Nota Técnica nº: 3/2025/AGEHAB/NFCT-20038( </w:t>
      </w:r>
      <w:hyperlink r:id="rId40" w:tgtFrame="_blank" w:history="1">
        <w:r w:rsidRPr="005F1569">
          <w:rPr>
            <w:rFonts w:ascii="Calibri" w:eastAsia="Times New Roman" w:hAnsi="Calibri" w:cs="Calibri"/>
            <w:color w:val="0000FF"/>
            <w:sz w:val="27"/>
            <w:szCs w:val="27"/>
            <w:u w:val="single"/>
            <w:lang w:eastAsia="pt-BR"/>
          </w:rPr>
          <w:t>70236446</w:t>
        </w:r>
      </w:hyperlink>
      <w:r w:rsidRPr="005F1569">
        <w:rPr>
          <w:rFonts w:ascii="Calibri" w:eastAsia="Times New Roman" w:hAnsi="Calibri" w:cs="Calibri"/>
          <w:color w:val="000000"/>
          <w:sz w:val="27"/>
          <w:szCs w:val="27"/>
          <w:lang w:eastAsia="pt-BR"/>
        </w:rPr>
        <w:t>) Processo 202500031000850 tendo como objetivo revisão das práticas contábeis na Agência Goiana de Habitação S/A- AGEHAB, assim reclassificado para o grupo contábil RECEITAS/OUTRAS RECEITAS, não integrando o grupo de RECEITA BRUTA OPERACIONAL.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lastRenderedPageBreak/>
        <w:t>a) Subvenção Governamental de Custeio oriundo do tesouro do Estado de Goiás, previsto em Lei Orçamentária Anual (LOA), tendo como destinação pagamento despesa com pessoal/encargos sociais e manutenção da estrutura administrativa deduzindo desvinculações da Receita Estadual (DRE) conforme art. 39 do Ato das Disposições Constitucionais Transitórias, da Constituição Estadual, o qual estabelece a desvinculação de 30% (trinta por cento) das receitas vinculadas a órgãos e entidades, fundos ou despesa, por força da Emenda à Constituição Estadual de Goiás nº 78/2023.</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b) Subvenção Governamental oriundo do Tesouro do Estado de Goiás, previsto em Lei Orçamentária Anual (LOA) para subsidiar programa de habitacional MORADIA COMO BASE DE CIDADANIA para ações sociais Construção e Reforma de Unidades Habitacionais, Regularização Fundiária e Aluguel Social.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c) Subvenção Governamental da União: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c.1) Convênios Federais referente aos termos de parcerias União/CEF com utilização de recurso do FGTS para subsidiar Construção de Unidades Habitacionais(convênios antigos);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23.2.2</w:t>
      </w:r>
      <w:r w:rsidRPr="005F1569">
        <w:rPr>
          <w:rFonts w:ascii="Calibri" w:eastAsia="Times New Roman" w:hAnsi="Calibri" w:cs="Calibri"/>
          <w:b/>
          <w:bCs/>
          <w:color w:val="000000"/>
          <w:sz w:val="27"/>
          <w:szCs w:val="27"/>
          <w:lang w:eastAsia="pt-BR"/>
        </w:rPr>
        <w:t> </w:t>
      </w:r>
      <w:r w:rsidRPr="005F1569">
        <w:rPr>
          <w:rFonts w:ascii="Calibri" w:eastAsia="Times New Roman" w:hAnsi="Calibri" w:cs="Calibri"/>
          <w:color w:val="000000"/>
          <w:sz w:val="27"/>
          <w:szCs w:val="27"/>
          <w:lang w:eastAsia="pt-BR"/>
        </w:rPr>
        <w:t>Política de Contabilidade Adotada para Subvenção Governamental da Agência Goiana de Habitação S/A.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23.2.2.1 Por meio do documento (</w:t>
      </w:r>
      <w:hyperlink r:id="rId41" w:tgtFrame="_blank" w:history="1">
        <w:r w:rsidRPr="005F1569">
          <w:rPr>
            <w:rFonts w:ascii="Calibri" w:eastAsia="Times New Roman" w:hAnsi="Calibri" w:cs="Calibri"/>
            <w:color w:val="0000FF"/>
            <w:sz w:val="27"/>
            <w:szCs w:val="27"/>
            <w:u w:val="single"/>
            <w:lang w:eastAsia="pt-BR"/>
          </w:rPr>
          <w:t>76228986</w:t>
        </w:r>
      </w:hyperlink>
      <w:r w:rsidRPr="005F1569">
        <w:rPr>
          <w:rFonts w:ascii="Calibri" w:eastAsia="Times New Roman" w:hAnsi="Calibri" w:cs="Calibri"/>
          <w:color w:val="000000"/>
          <w:sz w:val="27"/>
          <w:szCs w:val="27"/>
          <w:lang w:eastAsia="pt-BR"/>
        </w:rPr>
        <w:t>) processo 202500031000850 foi elaborado a Política de Contabilidade Adotada para Subvenção Governamental da Agência Goiana de Habitação S/A tendo como alcance:</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Esta política dever ser aplicada aos fatos contábeis relativos aos ingressos financeiros oriundos do tesouro do Estado de Goiás e outras entidades para manutenção dos Programas Habitacionais administrados pela Agência Goiana de Habitação S/A e manutenção da estrutura administrativa no âmbito da Contabilidade Societária.</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t>9. DIVULGAÇÃO EM NOTAS EXPLICATIVAS TRIMESTRAIS INFORMANDO A POLÍTICA ADOTADA SOBRE SUBVENÇÃO GOVERNAMENTAL</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t>9.1. O resultado financeiro das Subvenções Governamentais recebidas pela Agência Goiana de Habitação S/A deverá ser divulgado em Nota explicativas às Demonstrações Financeiras Intermediárias e anual, obedecendo os seguintes critérios:</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lastRenderedPageBreak/>
        <w:t>9.1.1. Divulgar em nota explicativa no mínimo na Demonstração do Resultado do Exercício (DRE);</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t>9.1.2. Realizar comparativo no mínimo dos valores recebidos com o mesmo período ano anterior;</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t>9.1.3. Demonstrar os valores recebidos por ações dos programas habitacionais;</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t>9.2. Aprimorar as Notas Explicativas e Demonstrativos Auxiliares</w:t>
      </w:r>
    </w:p>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t>9.2.1. Esta política será atualizada conforme alterações nas Normas Brasileira de Contabilidade, Normas de Contabilidade Aplicadas ao Setor Público, por exigência legal baseado nas alterações das legislações estaduais e federais e por exigência dos órgãos de controle externo.</w:t>
      </w:r>
    </w:p>
    <w:tbl>
      <w:tblPr>
        <w:tblW w:w="1016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531"/>
        <w:gridCol w:w="1543"/>
        <w:gridCol w:w="1543"/>
        <w:gridCol w:w="1543"/>
      </w:tblGrid>
      <w:tr w:rsidR="005F1569" w:rsidRPr="005F1569" w:rsidTr="005F1569">
        <w:trPr>
          <w:trHeight w:val="240"/>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Subvenção Recurso Estadual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137.844.804,22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729.809.969,84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118.592.671,97</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Subvenção Custeio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22.019.854,50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87.791.894,10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16.094.665,82</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Subvenção Programas Habitacionais - Recurso Estado de Goiás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115.824.949,72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642.018.075,74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102.498.006,15</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Construção Unidades Habitacionais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78.059.744,95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502.706.785,72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71.276.056,18</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Construção Unidades Habitacionais FAR/PROTEGE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11.946.226,99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22.348.361,55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Aluguel Social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24.806.623,87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114.625.117,16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31.211.394,87</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Regularização Fundiária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172.354,91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657.811,31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10.555,10</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Reforma de Unidades Habitacionais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839.999,00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1.680.000,00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Subvenção Recurso União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19.143,30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646.890,93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147.282,34</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Termos e Convênios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19.143,30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646.890,93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147.282,34</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137.863.947,52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730.456.860,77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118.739.954,31</w:t>
            </w:r>
          </w:p>
        </w:tc>
      </w:tr>
    </w:tbl>
    <w:p w:rsidR="005F1569" w:rsidRPr="005F1569" w:rsidRDefault="005F1569" w:rsidP="005F1569">
      <w:pPr>
        <w:spacing w:before="80" w:after="80" w:line="240" w:lineRule="auto"/>
        <w:ind w:left="1699"/>
        <w:jc w:val="both"/>
        <w:rPr>
          <w:rFonts w:ascii="Calibri" w:eastAsia="Times New Roman" w:hAnsi="Calibri" w:cs="Calibri"/>
          <w:color w:val="000000"/>
          <w:sz w:val="20"/>
          <w:szCs w:val="20"/>
          <w:lang w:eastAsia="pt-BR"/>
        </w:rPr>
      </w:pPr>
      <w:r w:rsidRPr="005F1569">
        <w:rPr>
          <w:rFonts w:ascii="Calibri" w:eastAsia="Times New Roman" w:hAnsi="Calibri" w:cs="Calibri"/>
          <w:color w:val="000000"/>
          <w:sz w:val="20"/>
          <w:szCs w:val="20"/>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23.3. CUSTOS DOS SERVIÇOS PRESTADOS, totalizando R$ 67.804.037,43 (sessenta e sete milhões, oitocentos e quatro mil e trinta e sete reais e quarenta e três centavos)</w:t>
      </w:r>
    </w:p>
    <w:tbl>
      <w:tblPr>
        <w:tblW w:w="128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371"/>
        <w:gridCol w:w="1026"/>
        <w:gridCol w:w="2095"/>
        <w:gridCol w:w="2233"/>
        <w:gridCol w:w="2095"/>
      </w:tblGrid>
      <w:tr w:rsidR="005F1569" w:rsidRPr="005F1569" w:rsidTr="005F1569">
        <w:trPr>
          <w:trHeight w:val="300"/>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Nota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CUSTOS DOS SERVIÇOS PRESTADOS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23.3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(67.804.037,43)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(519.752.388,82)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(86.207.544,76)</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APLICAÇÃO PROGRAMAS HABITACIONAIS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23.3.1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(51.600.083,47)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(451.094.659,12)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(71.672.685,97)</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Com Recursos - União (a)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(431.922,20)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Com Recursos - Tesouro Estadual (b)</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(51.600.083,47)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(450.662.736,92)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(71.672.685,97)</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OUTROS CUSTOS DOS SERVIÇOS PRESTADOS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23.3.2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(16.203.953,96)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(68.657.729,70)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(14.534.858,79)</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Mão de Obra  (a)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(13.305.610,48)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(55.841.240,93)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(12.599.959,69)</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Serviços de Terceiros  (b)</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(2.394.569,90)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(10.311.469,29)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(1.763.142,87)</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Outros Custos Operacionais  (c)</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(174.863,45)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(848.031,03)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(121.629,54)</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Custo com Obras Administradas  (d)</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(328.910,13)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(1.656.988,45)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(50.126,69)</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                                                                                                                                                                                               </w:t>
      </w:r>
    </w:p>
    <w:p w:rsidR="005F1569" w:rsidRPr="005F1569" w:rsidRDefault="005F1569" w:rsidP="005F1569">
      <w:pPr>
        <w:spacing w:before="100" w:beforeAutospacing="1" w:after="100" w:afterAutospacing="1" w:line="240" w:lineRule="auto"/>
        <w:jc w:val="both"/>
        <w:rPr>
          <w:rFonts w:ascii="Calibri" w:eastAsia="Times New Roman" w:hAnsi="Calibri" w:cs="Calibri"/>
          <w:caps/>
          <w:color w:val="000000"/>
          <w:sz w:val="26"/>
          <w:szCs w:val="26"/>
          <w:lang w:eastAsia="pt-BR"/>
        </w:rPr>
      </w:pPr>
      <w:r w:rsidRPr="005F1569">
        <w:rPr>
          <w:rFonts w:ascii="Calibri" w:eastAsia="Times New Roman" w:hAnsi="Calibri" w:cs="Calibri"/>
          <w:b/>
          <w:bCs/>
          <w:caps/>
          <w:color w:val="000000"/>
          <w:sz w:val="26"/>
          <w:szCs w:val="26"/>
          <w:lang w:eastAsia="pt-BR"/>
        </w:rPr>
        <w:lastRenderedPageBreak/>
        <w:t>                                                                                          NOTA 23.3.1. APLICAÇÃO PROGRAMAS HABITACIONAIS, totalizando R$ 51.600.083,47 (cinquenta e um milhões, seiscentos mil e oitenta e três reais e quarenta e sete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23.3.1 Através da</w:t>
      </w:r>
      <w:r w:rsidRPr="005F1569">
        <w:rPr>
          <w:rFonts w:ascii="Calibri" w:eastAsia="Times New Roman" w:hAnsi="Calibri" w:cs="Calibri"/>
          <w:b/>
          <w:bCs/>
          <w:color w:val="000000"/>
          <w:sz w:val="27"/>
          <w:szCs w:val="27"/>
          <w:lang w:eastAsia="pt-BR"/>
        </w:rPr>
        <w:t> </w:t>
      </w:r>
      <w:r w:rsidRPr="005F1569">
        <w:rPr>
          <w:rFonts w:ascii="Calibri" w:eastAsia="Times New Roman" w:hAnsi="Calibri" w:cs="Calibri"/>
          <w:color w:val="000000"/>
          <w:sz w:val="27"/>
          <w:szCs w:val="27"/>
          <w:lang w:eastAsia="pt-BR"/>
        </w:rPr>
        <w:t>Nota Técnica nº: 3/2025/AGEHAB/NFCT-20038(</w:t>
      </w:r>
      <w:hyperlink r:id="rId42" w:tgtFrame="_blank" w:history="1">
        <w:r w:rsidRPr="005F1569">
          <w:rPr>
            <w:rFonts w:ascii="Calibri" w:eastAsia="Times New Roman" w:hAnsi="Calibri" w:cs="Calibri"/>
            <w:color w:val="0000FF"/>
            <w:sz w:val="27"/>
            <w:szCs w:val="27"/>
            <w:u w:val="single"/>
            <w:lang w:eastAsia="pt-BR"/>
          </w:rPr>
          <w:t>70236446</w:t>
        </w:r>
      </w:hyperlink>
      <w:r w:rsidRPr="005F1569">
        <w:rPr>
          <w:rFonts w:ascii="Calibri" w:eastAsia="Times New Roman" w:hAnsi="Calibri" w:cs="Calibri"/>
          <w:color w:val="000000"/>
          <w:sz w:val="27"/>
          <w:szCs w:val="27"/>
          <w:lang w:eastAsia="pt-BR"/>
        </w:rPr>
        <w:t>) Processo 202500031000850 tendo como objetivo revisão das práticas contábeis na Agência Goiana de Habitação S/A- AGEHAB, assim alterado às nomenclaturas de SERVIÇO APLICADO para APLICAÇÃO PROGRAMAS HABITACIONAIS.</w:t>
      </w:r>
    </w:p>
    <w:tbl>
      <w:tblPr>
        <w:tblW w:w="128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190"/>
        <w:gridCol w:w="1051"/>
        <w:gridCol w:w="2146"/>
        <w:gridCol w:w="2287"/>
        <w:gridCol w:w="2146"/>
      </w:tblGrid>
      <w:tr w:rsidR="005F1569" w:rsidRPr="005F1569" w:rsidTr="005F1569">
        <w:trPr>
          <w:trHeight w:val="300"/>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Nota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APLICAÇÃO PROGRAMAS HABITACIONAIS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23.3.1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(51.600.083,47)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(451.094.659,12)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(71.672.685,97)</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Com Recursos - União (a)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(431.922,20)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Com Recursos - Tesouro Estadual (b)</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(51.600.083,47)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(450.662.736,92)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(71.672.685,97)</w:t>
            </w:r>
          </w:p>
        </w:tc>
      </w:tr>
    </w:tbl>
    <w:p w:rsidR="005F1569" w:rsidRPr="005F1569" w:rsidRDefault="005F1569" w:rsidP="005F1569">
      <w:pPr>
        <w:spacing w:after="0" w:line="240" w:lineRule="auto"/>
        <w:rPr>
          <w:rFonts w:ascii="Times New Roman" w:eastAsia="Times New Roman" w:hAnsi="Times New Roman" w:cs="Times New Roman"/>
          <w:vanish/>
          <w:sz w:val="24"/>
          <w:szCs w:val="24"/>
          <w:lang w:eastAsia="pt-BR"/>
        </w:rPr>
      </w:pPr>
    </w:p>
    <w:tbl>
      <w:tblPr>
        <w:tblW w:w="1093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093"/>
        <w:gridCol w:w="1900"/>
        <w:gridCol w:w="2037"/>
        <w:gridCol w:w="1900"/>
      </w:tblGrid>
      <w:tr w:rsidR="005F1569" w:rsidRPr="005F1569" w:rsidTr="005F1569">
        <w:trPr>
          <w:trHeight w:val="240"/>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Aplicação Programas Habitacionais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51.600.083,47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451.094.659,12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71.672.685,97</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Recurso União (a)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431.922,20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0,00</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Projeto Técnico Social (a)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431.922,20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r>
      <w:tr w:rsidR="005F1569" w:rsidRPr="005F1569" w:rsidTr="005F1569">
        <w:trPr>
          <w:trHeight w:val="240"/>
        </w:trPr>
        <w:tc>
          <w:tcPr>
            <w:tcW w:w="0" w:type="auto"/>
            <w:gridSpan w:val="3"/>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Recurso Estadual (b)</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51.600.083,47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450.662.736,92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71.672.685,97</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Construção de Unidades Habitacionais (b.1)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25.953.460,60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332.101.556,05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40.461.291,10</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Aluguel Social (b.2)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24.806.623,87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114.625.117,16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31.211.394,87</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Regularização Fundiária (b.3)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2.251.084,09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Reforma de Unidades Habitacionais (b.4)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839.999,00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1.680.000,00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r>
      <w:tr w:rsidR="005F1569" w:rsidRPr="005F1569" w:rsidTr="005F1569">
        <w:trPr>
          <w:trHeight w:val="24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Serviços Construção Civil (b.5)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4.979,62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a) Recurso União - Mediante Convênios Celebrados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Refere-se aos serviços prestados através dos convênios Termo de Compromisso nº 0352781-82 para executar atividades de Projeto de Trabalho Social nos loteamentos Madre Germana I e II em Aparecida de Goiânia e Goiânia União/CEF e Convênio nº 0419643-38 União/CEF/FAR para executar Plano de Desenvolvimento Socioterritorial no residencial Vera Cruz empreendimento Nelson Mandela em Goiânia.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b) Recurso Estadual - Governo do Estado de Goiás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b.1) Construção de Unidades Habitacionais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Conforme disposto na Nota Técnica nº 05/2024 – AGEHAB-ASCONT-20038 (documento nº </w:t>
      </w:r>
      <w:hyperlink r:id="rId43" w:tgtFrame="_blank" w:history="1">
        <w:r w:rsidRPr="005F1569">
          <w:rPr>
            <w:rFonts w:ascii="Calibri" w:eastAsia="Times New Roman" w:hAnsi="Calibri" w:cs="Calibri"/>
            <w:color w:val="0000FF"/>
            <w:sz w:val="27"/>
            <w:szCs w:val="27"/>
            <w:u w:val="single"/>
            <w:lang w:eastAsia="pt-BR"/>
          </w:rPr>
          <w:t>65208656</w:t>
        </w:r>
      </w:hyperlink>
      <w:r w:rsidRPr="005F1569">
        <w:rPr>
          <w:rFonts w:ascii="Calibri" w:eastAsia="Times New Roman" w:hAnsi="Calibri" w:cs="Calibri"/>
          <w:color w:val="000000"/>
          <w:sz w:val="27"/>
          <w:szCs w:val="27"/>
          <w:lang w:eastAsia="pt-BR"/>
        </w:rPr>
        <w:t xml:space="preserve">), constante no Processo nº 202400031007406, as Unidades Habitacionais construídas não integram o patrimônio da Agência Goiana de Habitação S/A, uma vez que são destinadas à doação às famílias goianas, nos termos da Lei Estadual nº </w:t>
      </w:r>
      <w:r w:rsidRPr="005F1569">
        <w:rPr>
          <w:rFonts w:ascii="Calibri" w:eastAsia="Times New Roman" w:hAnsi="Calibri" w:cs="Calibri"/>
          <w:color w:val="000000"/>
          <w:sz w:val="27"/>
          <w:szCs w:val="27"/>
          <w:lang w:eastAsia="pt-BR"/>
        </w:rPr>
        <w:lastRenderedPageBreak/>
        <w:t>21.219, de 29 de dezembro de 2021. O art. 4º da referida Lei estabelece que o Programa Pra Ter Onde Morar, quanto à construção, tem por objetivo construir ou concluir unidades habitacionais de interesse social em municípios do Estado de Goiás, para posterior doação a famílias em situação de vulnerabilidade social e econômica (vide Nota Explicativa 12.6.3).</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No exercício de 2025, foram realizadas baixas de 2.692 (duas mil, seiscentas e noventa e duas) Unidades Habitacionais construídas no âmbito do programa habitacional Casas a Custo Zero, com recursos de Subvenção Governamental oriundos do Tesouro do Estado de Goiás, bem como de Obras Retomadas com Recursos Ordinários do Estado de Goiás, totalizando o montante de R$ 332.101.556,05 (trezentos e trinta e dois milhões, cento e um mil, quinhentos e cinquenta e seis reais e cinco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No período de 01 de janeiro de 2026 a 31 de março de 2026, foram realizadas baixas de 177 (cento e setenta e sete) Unidades Habitacionais construídas no âmbito do programa habitacional Casas a Custo Zero, financiadas com recursos de Subvenção Governamental oriundos do Tesouro do Estado de Goiás, totalizando R$ 25.953.460,60 (vinte e cinco milhões, novecentos e cinquenta e três mil, quatrocentos e sessenta reais e sessenta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b.2) Aluguel Social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No primeiro trimestre de 2026, foram realizados repasses financeiros no montante de R$ 24.806.623,87 (vinte e quatro milhões, oitocentos e seis mil, seiscentos e vinte e três reais e oitenta e sete centavos), por meio do Convênio nº 2023090000033/2023, celebrado com a Agência de Fomento de Goiás S/A, cujo objeto consiste na transferência de recursos destinados à execução das ações do Programa Pra Ter Onde Morar, instituído pela Lei nº 21.186, de 30 de novembro de 2021.</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xml:space="preserve">O programa destina-se ao atendimento de pessoas e famílias em situação de vulnerabilidade socioeconômica, estudantes da Universidade Estadual de Goiás e beneficiários do Programa Universitário do Bem – PROBEM, inscritos no Cadastro Único para Programas Sociais do Governo Federal – CadÚnico, desde que atendidos os critérios estabelecidos na legislação pertinente. O objetivo é promover o direito social à moradia </w:t>
      </w:r>
      <w:r w:rsidRPr="005F1569">
        <w:rPr>
          <w:rFonts w:ascii="Calibri" w:eastAsia="Times New Roman" w:hAnsi="Calibri" w:cs="Calibri"/>
          <w:color w:val="000000"/>
          <w:sz w:val="27"/>
          <w:szCs w:val="27"/>
          <w:lang w:eastAsia="pt-BR"/>
        </w:rPr>
        <w:lastRenderedPageBreak/>
        <w:t>digna por meio da transferência direta de renda às famílias beneficiárias, destinada ao custeio da locação de imóveis residenciais ou ao pagamento de prestação da casa própria.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 Agência de Fomento de Goiás S/A – GOIÁS FOMENTO presta suporte operacional à AGEHAB quanto à liberação dos recursos aos beneficiários, por meio de conta digital, na forma prevista no Plano de Trabalho anexo ao convênio, atuando como agente financeiro do programa, conforme disposto no art. 3º da Lei nº 13.533, de 15 de outubro de 1999.</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b.3) Regularização Fundiária e Cadastro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Serviços prestados por pessoas jurídicas, contratadas mediante processo licitatório, em conformidade com o Regulamento Interno de Licitações e Contratos da Agência Goiana de Habitação S/A – AGEHAB, destinados à execução de serviços de regularização fundiária e cadastramento de beneficiários dos programas habitacionais.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b.4) Reforma de Unidades Habitacionais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Em 2025, por meio de convênios celebrados com os municípios de Nova América e Americano do Brasil, encontravam-se em andamento reformas de 78 (setenta e oito) e 40 (quarenta) Unidades Habitacionais, respectivamente.</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No primeiro trimestre de 2026, houve repasse financeiro à Prefeitura de Cavalcante, mediante convênio celebrado com o objetivo de executar  reforma em 77 (setenta e sete) Unidades Habitacionais, totalizando R$ 839.999,00 (oitocentos e trinta e nove mil novecentos e noventa e nove reais)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b.5) Serviços Construção Civil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Serviços prestados por pessoa jurídica para elaboração e aprovação de projeto de rede distribuição de energia elétrica no setor residencial Zilda Arns processo 202500031007150.</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both"/>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lastRenderedPageBreak/>
        <w:t>                                                                                   NOTA 23.3.2. OUTROS CUSTOS DOS SERVIÇOS PRESTADOS, totalizando R$ 16.203.953,96 (dezesseis milhões, duzentos e três mil novecentos e cinquenta e três reais e noventa e seis centavos)</w:t>
      </w:r>
    </w:p>
    <w:tbl>
      <w:tblPr>
        <w:tblW w:w="128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429"/>
        <w:gridCol w:w="1037"/>
        <w:gridCol w:w="2118"/>
        <w:gridCol w:w="2118"/>
        <w:gridCol w:w="2118"/>
      </w:tblGrid>
      <w:tr w:rsidR="005F1569" w:rsidRPr="005F1569" w:rsidTr="005F1569">
        <w:trPr>
          <w:trHeight w:val="300"/>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Nota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OUTROS CUSTOS DOS SERVIÇOS PRESTADOS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23.3.2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(16.203.953,96)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(68.657.729,70)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(14.534.858,79)</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Mão de Obra  (a)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(13.305.610,48)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(55.841.240,93)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(12.599.959,69)</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Serviços de Terceiros  (b)</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(2.394.569,90)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(10.311.469,29)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(1.763.142,87)</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Outros Custos Operacionais  (c)</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(174.863,45)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(848.031,03)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(121.629,54)</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Custo com Obras Administradas  (d)</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(328.910,13)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(1.656.988,45)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(50.126,69)</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 Gastos com Pessoal referem-se aos custos e despesas com empregados públicos efetivos, comissionados, Diretoria Executiva e membros dos Conselhos (Comitê de Auditoria Estatutário, Conselho Fiscal, Conselho de Administração, Comitê de Pessoas, Elegibilidade, Sucessão), compreendendo verbas salariais, provisões de férias e 13º salário, encargos sociais (Contribuição Previdenciária Patronal, FGTS e fundos de previdência estaduais e municipais), vale-alimentação/refeição, vale-transporte, seguro de vida, despesas relacionadas à segurança do trabalho, estagiários, pessoas com deficiência e terceirizados vinculados às funções administrativas, conforme determina a legislação vigente.</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Tais gastos são subsidiados pelo Governo do Estado de Goiás, por meio de Subvenção para Custeio, bem como parcialmente custeados com receitas arrecadadas pela própria Companhia, sendo apropriados pelo regime de competência e segregados entre Custos e Despesas.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Consideram-se como Custos os gastos relacionados aos servidores vinculados às atividades finalísticas, ou seja, aqueles que executam atividades diretamente ligadas aos Programas Habitacionais. Já as Despesas referem-se aos gastos com servidores vinculados à manutenção das atividades administrativas da Companhia.</w:t>
      </w:r>
    </w:p>
    <w:tbl>
      <w:tblPr>
        <w:tblW w:w="819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66"/>
        <w:gridCol w:w="5232"/>
        <w:gridCol w:w="1299"/>
      </w:tblGrid>
      <w:tr w:rsidR="005F1569" w:rsidRPr="005F1569" w:rsidTr="005F1569">
        <w:trPr>
          <w:trHeight w:val="22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3.2.01.01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Mão de Obra Aplicada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13.305.610,48</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3.2.01.01.001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Custo com Pessoal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9.540.226,63</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Vencimentos e Salários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5.963.919,75</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Férias e 1/3 de Férias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1.414.348,05</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13º Salário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651.725,40</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Gratificação de Função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3.351,48</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Horas Extras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428.543,18</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3.2.01.01.001.0006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Anuênios e Quinquênios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30.291,84</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Função Gratificada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783.067,31</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3.2.01.01.001.0008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Prorrogação Salário Maternidade/Paternidade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29.654,39</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3.2.01.01.001.0011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Repouso Remunerado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82.150,72</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3.2.01.01.001.0016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Bolsa Estágio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40.233,36</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lastRenderedPageBreak/>
              <w:t>3.2.01.01.001.0018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Pessoal Requisitado de Outros Órgãos/Entidades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6.992,68</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3.2.01.01.001.0019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Multa do art. 477 CLT - atraso no pagamento das verbas rescisórias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105.948,47</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3.2.01.01.003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Encargos Sociais Diretos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2.290.607,92</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3.2.01.01.003.0001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Contribuição Previdenciária Patronal - Empresa/SAT/Terceiros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1.613.590,58</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3.2.01.01.003.0002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FGTS - Fundo de Garantia do Tempo de Serviço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669.702,59</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3.2.01.01.003.0005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Fundos de Previdências Estadual/Municipal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7.314,75</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3.2.01.01.004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Outros Encargos e Benefícios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1.160.784,49</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3.2.01.01.004.0001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Vale Transporte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7.442,45</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3.2.01.01.004.0002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Vale Alimentação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1.141.800,74</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3.2.01.01.004.0004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Auxílio Creche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11.541,30</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3.2.01.01.006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Serviços de Terceiros - Pessoa Jurídica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313.991,44</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3.2.01.01.006.0002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Mão de Obra Terceirizada - Portadores de Necessidades Especiais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305.903,44</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3.2.01.01.006.0003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Serviços Exames Periódicos e Segurança do Trabalho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8.088,00</w:t>
            </w:r>
          </w:p>
        </w:tc>
      </w:tr>
    </w:tbl>
    <w:p w:rsidR="005F1569" w:rsidRPr="005F1569" w:rsidRDefault="005F1569" w:rsidP="005F1569">
      <w:pPr>
        <w:spacing w:after="0" w:line="240" w:lineRule="auto"/>
        <w:rPr>
          <w:rFonts w:ascii="Times New Roman" w:eastAsia="Times New Roman" w:hAnsi="Times New Roman" w:cs="Times New Roman"/>
          <w:vanish/>
          <w:sz w:val="24"/>
          <w:szCs w:val="24"/>
          <w:lang w:eastAsia="pt-BR"/>
        </w:rPr>
      </w:pPr>
    </w:p>
    <w:tbl>
      <w:tblPr>
        <w:tblW w:w="89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821"/>
        <w:gridCol w:w="2033"/>
        <w:gridCol w:w="2033"/>
        <w:gridCol w:w="2033"/>
      </w:tblGrid>
      <w:tr w:rsidR="005F1569" w:rsidRPr="005F1569" w:rsidTr="005F1569">
        <w:trPr>
          <w:trHeight w:val="300"/>
          <w:tblHeader/>
        </w:trPr>
        <w:tc>
          <w:tcPr>
            <w:tcW w:w="0" w:type="auto"/>
            <w:gridSpan w:val="4"/>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PESSOAL E ENCARGOS</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Grupo Contábil Custos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R$ 13.305.610,48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R$ 55.841.240,93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R$ 12.599.959,69</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Grupo Contábil Despesas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3.998.961,36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R$ 14.977.282,46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   3.295.813,94</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R$ 17.304.571,84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R$ 70.818.523,39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R$ 15.895.773,63</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b) Serviços de Terceiros apropriados no grupo de Custos referem-se locação de bens móveis e equipamentos para eventos, manutenção e atualização de softwares, locação de veículos, publicações de editais e atos oficiais, propaganda e publicidade, serviços prestados nas unidades Vapt Vupt e serviços de edição de imagens, cujas contratações são realizadas por meio de processo licitatório, em conformidade com o Regulamento Interno de Licitações e Contratos da AGEHAB.</w:t>
      </w:r>
    </w:p>
    <w:tbl>
      <w:tblPr>
        <w:tblW w:w="93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69"/>
        <w:gridCol w:w="5601"/>
        <w:gridCol w:w="1570"/>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3.2.01.03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Custo com Serviços de Terceiro - Pessoa Jurídica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2.394.569,90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3.2.01.03.001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Serviços de Terceiro - Pessoa Jurídica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2.394.569,90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3.2.01.03.001.0001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Locação de Bens Móveis e Equipamentos para Eventos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701.121,58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3.2.01.03.001.0007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Manutenção e Atualização de Software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289.823,82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3.2.01.03.001.0009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Locações de Veículos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1.109.064,66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3.2.01.03.001.0011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Publicações de Editais e Atos Oficiais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267.188,80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3.2.01.03.001.0012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Propaganda e Publicidades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7.140,00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3.2.01.03.001.0031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Serviços de Atendimentos Realizados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20.231,04</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c) Outros Custos Operacionais referem-se, principalmente, ao pagamento de diárias a servidores para deslocamentos em viagens destinadas à participação em eventos, fiscalizações de obras, entrega de benefícios habitacionais.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tbl>
      <w:tblPr>
        <w:tblW w:w="638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96"/>
        <w:gridCol w:w="3110"/>
        <w:gridCol w:w="1274"/>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3.2.01.05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Custos com Viagens a Serviço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173.572,50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3.2.01.05.001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Custos com Viagens a Serviço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173.572,50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3.2.01.05.001.0001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Diárias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173.572,50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Outros Custos Operacionais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1.290,95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lastRenderedPageBreak/>
              <w:t>3.2.01.02.001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Material de Consumo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1.290,95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3.2.01.02.001.0011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Materiais Gráficos para eventos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1.290,95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174.863,45</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d) Custo com Obras Administradas: refere-se aos custos de aquisição para alienação dos terrenos localizados no conjunto Vera Cruz em Goiânia-GO destinados aos empreendimentos Iris Rezende III, IV, V e VI (vide Notas Explicativas 12.4.6, 12.4.7, 12.4.8 e 12.4.9).</w:t>
      </w:r>
    </w:p>
    <w:tbl>
      <w:tblPr>
        <w:tblW w:w="93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70"/>
        <w:gridCol w:w="5785"/>
        <w:gridCol w:w="1385"/>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3.2.01.06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Custo com Obras Administradas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328.910,13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3.2.01.06.001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Custo de Obras Civis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328.910,13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3.2.01.06.001.0005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Custo na Alienação de Terrenos destinados à edificações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328.910,13</w:t>
            </w:r>
          </w:p>
        </w:tc>
      </w:tr>
    </w:tbl>
    <w:p w:rsidR="005F1569" w:rsidRPr="005F1569" w:rsidRDefault="005F1569" w:rsidP="005F1569">
      <w:pPr>
        <w:spacing w:before="120" w:after="120" w:line="240" w:lineRule="auto"/>
        <w:ind w:left="120" w:right="120" w:firstLine="1699"/>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both"/>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NOTA 23.4. DESPESAS OPERACIONAIS, totalizando r$ 5.461.811,16 (cinco milhões, quatrocentos e sessenta e um mil oitocentos e onze reais e dezesseis centavos)</w:t>
      </w:r>
    </w:p>
    <w:tbl>
      <w:tblPr>
        <w:tblW w:w="128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987"/>
        <w:gridCol w:w="875"/>
        <w:gridCol w:w="1940"/>
        <w:gridCol w:w="2078"/>
        <w:gridCol w:w="1940"/>
      </w:tblGrid>
      <w:tr w:rsidR="005F1569" w:rsidRPr="005F1569" w:rsidTr="005F1569">
        <w:trPr>
          <w:trHeight w:val="300"/>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Nota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DESPESAS OPERACIONAIS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23.4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(5.461.811,16)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(24.323.639,06)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(4.372.830,81)</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Despesas com Pessoal (a)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(3.998.961,36)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(14.977.282,46)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(3.295.813,84)</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Serviço de Terceiros  (b)</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(598.006,17)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(3.228.497,41)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(543.698,82)</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Despesas Gerais Administrativas (c)</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(366.043,78)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(2.613.232,59)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(206.254,44)</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Despesas Tributárias (d)</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(125.529,77)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(382.389,04)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(68.412,62)</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Outras Receitas e Outras Despesas Operacionais (e)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(373.270,08)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(3.122.237,56)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(258.651,09)</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 Gastos com Pessoal referem-se às despesas com empregados públicos efetivos, comissionados, Diretoria Executiva e membros dos Conselhos (Comitê de Auditoria Estatutário, Conselho Fiscal, Conselho de Administração, Comitê de Pessoas, Elegibilidade, Sucessão), compreendendo verbas salariais, provisões de férias e 13º salário, encargos sociais (Contribuição Previdenciária Patronal, FGTS e fundos de previdência estaduais e municipais), vale-alimentação/refeição, vale-transporte, seguro de vida, auxílios, despesas relacionadas à segurança do trabalho, despesas com estagiários, pessoas com deficiência e terceirizados vinculados às funções administrativas, conforme determina a legislação vigente.</w:t>
      </w:r>
    </w:p>
    <w:tbl>
      <w:tblPr>
        <w:tblW w:w="93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12"/>
        <w:gridCol w:w="5871"/>
        <w:gridCol w:w="1457"/>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3.3.01.01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Despesas com Pessoal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3.998.961,36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3.3.01.01.001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Salários e Ordenados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2.422.011,36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Vencimentos e Salários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1.211.733,95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Férias e 1/3 de Férias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152.525,81</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13º Salário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157.576,89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lastRenderedPageBreak/>
              <w:t>3.3.01.01.001.0004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Gratificação de Função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2.588,70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Anuênios e Quinquênios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26.941,53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3.3.01.01.001.0006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Função Gratificada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427.930,20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Prorrogação Salário Maternidade/Paternidade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10.804,12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3.3.01.01.001.0009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Horas Extras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22.702,26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3.3.01.01.001.0010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Repouso Remunerado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4.377,50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3.3.01.01.001.0014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Bolsa Estágio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20.613,77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3.3.01.01.001.0016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Pessoal Requisitado de Outros Órgãos/Entidades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384.216,63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3.3.01.01.003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Encargos Sociais Diretos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710.376,50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3.3.01.01.003.0001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Contribuição Previdenciária Patronal - Empresa/SAT/Terceiros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491.733,00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3.3.01.01.003.0002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FGTS - Fundo de Garantia do Tempo de Serviço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149.161,28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3.3.01.01.003.0004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Contribuição Previdenciária Patronal Terceiros - INSS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67.369,83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3.3.01.01.003.0005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Fundo de Previdências Estadual/Municipal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2.112,39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3.3.01.01.004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Outros Encargos e Benefícios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304.435,35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3.3.01.01.004.0001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Vale Transporte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3.599,39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3.3.01.01.004.0002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Vale Alimentação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297.357,76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3.3.01.01.004.0003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Auxílio Creche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3.478,20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3.3.01.01.006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Serviços de Terceiros - Pessoa Jurídica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225.288,00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3.3.01.01.006.0004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Mão-de-Obra Terceirizada - Administrativo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225.288,00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3.3.01.01.007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Despesas com Conselhos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336.850,15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3.3.01.01.007.0001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Conselho de Administração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175.963,28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3.3.01.01.007.0002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Conselho Fiscal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58.151,88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3.3.01.01.007.0003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Comitê de Auditoria Estatutário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63.967,07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3.3.01.01.007.0004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Comitê de Pessoa Elegibilidade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38.767,92</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Tais despesas são subsidiadas pelo Governo do Estado de Goiás, por meio de Subvenção para Custeio, bem como parcialmente custeadas com receitas arrecadadas pela própria Companhia, sendo apropriadas pelo regime de competência e segregadas entre Custos e Despesas.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Consideram-se como Custos os gastos relacionados aos servidores vinculados às atividades finalísticas, ou seja, aqueles que executam atividades diretamente ligadas aos Programas Habitacionais. Já as Despesas referem-se aos gastos com servidores vinculados à manutenção das atividades administrativas da Companhia.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87"/>
        <w:gridCol w:w="1312"/>
        <w:gridCol w:w="1312"/>
        <w:gridCol w:w="1312"/>
      </w:tblGrid>
      <w:tr w:rsidR="005F1569" w:rsidRPr="005F1569" w:rsidTr="005F1569">
        <w:trPr>
          <w:tblHeader/>
        </w:trPr>
        <w:tc>
          <w:tcPr>
            <w:tcW w:w="0" w:type="auto"/>
            <w:gridSpan w:val="4"/>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PESSOAL E ENCARGOS</w:t>
            </w:r>
          </w:p>
        </w:tc>
      </w:tr>
      <w:tr w:rsidR="005F1569" w:rsidRPr="005F1569" w:rsidTr="005F1569">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Grupo Contábil Custos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13.305.610,48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55.841.240,93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12.599.959,69</w:t>
            </w:r>
          </w:p>
        </w:tc>
      </w:tr>
      <w:tr w:rsidR="005F1569" w:rsidRPr="005F1569" w:rsidTr="005F1569">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Grupo Contábil Despesas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3.998.961,36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14.977.282,46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3.295.813,94</w:t>
            </w:r>
          </w:p>
        </w:tc>
      </w:tr>
      <w:tr w:rsidR="005F1569" w:rsidRPr="005F1569" w:rsidTr="005F1569">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 17.304.571,84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 70.818.523,39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 15.895.773,63</w:t>
            </w:r>
          </w:p>
        </w:tc>
      </w:tr>
    </w:tbl>
    <w:p w:rsidR="005F1569" w:rsidRPr="005F1569" w:rsidRDefault="005F1569" w:rsidP="005F1569">
      <w:pPr>
        <w:spacing w:after="0" w:line="240" w:lineRule="auto"/>
        <w:rPr>
          <w:rFonts w:ascii="Times New Roman" w:eastAsia="Times New Roman" w:hAnsi="Times New Roman" w:cs="Times New Roman"/>
          <w:color w:val="000000"/>
          <w:sz w:val="27"/>
          <w:szCs w:val="27"/>
          <w:lang w:eastAsia="pt-BR"/>
        </w:rPr>
      </w:pPr>
      <w:r w:rsidRPr="005F1569">
        <w:rPr>
          <w:rFonts w:ascii="Times New Roman" w:eastAsia="Times New Roman" w:hAnsi="Times New Roman" w:cs="Times New Roman"/>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b) Serviços de Terceiros apropriados no grupo de Despesas referem-se à locação de bens de informática, serviços terceirizados de portaria/vigilância, limpeza e conservação, locação de bens imóveis, monitoramento eletrônico, serviços de auditoria independente, serviços de comunicação e telefonia, cujas contratações são realizadas por meio de processo licitatório, em conformidade com o Regulamento Interno de Licitações e Contratos da AGEHAB.</w:t>
      </w:r>
    </w:p>
    <w:tbl>
      <w:tblPr>
        <w:tblW w:w="93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02"/>
        <w:gridCol w:w="5896"/>
        <w:gridCol w:w="1342"/>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sz w:val="18"/>
                <w:szCs w:val="18"/>
                <w:lang w:eastAsia="pt-BR"/>
              </w:rPr>
            </w:pPr>
            <w:r w:rsidRPr="005F1569">
              <w:rPr>
                <w:rFonts w:ascii="Calibri" w:eastAsia="Times New Roman" w:hAnsi="Calibri" w:cs="Calibri"/>
                <w:b/>
                <w:bCs/>
                <w:sz w:val="18"/>
                <w:szCs w:val="18"/>
                <w:lang w:eastAsia="pt-BR"/>
              </w:rPr>
              <w:lastRenderedPageBreak/>
              <w:t>3.3.01.03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sz w:val="18"/>
                <w:szCs w:val="18"/>
                <w:lang w:eastAsia="pt-BR"/>
              </w:rPr>
            </w:pPr>
            <w:r w:rsidRPr="005F1569">
              <w:rPr>
                <w:rFonts w:ascii="Calibri" w:eastAsia="Times New Roman" w:hAnsi="Calibri" w:cs="Calibri"/>
                <w:b/>
                <w:bCs/>
                <w:sz w:val="18"/>
                <w:szCs w:val="18"/>
                <w:lang w:eastAsia="pt-BR"/>
              </w:rPr>
              <w:t>Serviço de Terceiro - Pessoa Jurídica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sz w:val="18"/>
                <w:szCs w:val="18"/>
                <w:lang w:eastAsia="pt-BR"/>
              </w:rPr>
            </w:pPr>
            <w:r w:rsidRPr="005F1569">
              <w:rPr>
                <w:rFonts w:ascii="Calibri" w:eastAsia="Times New Roman" w:hAnsi="Calibri" w:cs="Calibri"/>
                <w:b/>
                <w:bCs/>
                <w:sz w:val="18"/>
                <w:szCs w:val="18"/>
                <w:lang w:eastAsia="pt-BR"/>
              </w:rPr>
              <w:t>598.006,17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3.3.01.03.001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Serviço de Terceiro - Pessoa Jurídica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598.006,17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3.3.01.03.001.0001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Locação de Equipamentos de Informática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58.141,29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3.3.01.03.001.0002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Serviços Técnicos e Profissionais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5.145,40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3.3.01.03.001.0003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Serviço de Auditoria Independente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12.806,15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3.3.01.03.001.0005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Manutenção e Conservação de Bens Móveis e Bens Imóveis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19.600,00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3.3.01.03.001.0007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Assinaturas de Periódicos e Serviços Eletrônicos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11.750,55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3.3.01.03.001.0012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Serviços de Portaria e Vigilância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63.710,04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3.3.01.03.001.0013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Serviços de Limpeza e Conservação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166.870,07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3.3.01.03.001.0016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Serviço de Monitoramento Eletrônico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8.098,59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3.3.01.03.001.0019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Locação de Bens Imóveis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139.327,04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3.3.01.03.001.0020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Serviços de Comunicação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85.906,30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3.3.01.03.001.0021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Serviços de Telefonia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26.650,74</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c) Despesas Gerais e Administrativas referem-se às despesas subsidiadas com recursos de Subvenção Governamental para Custeio, compreendendo aquisição de materiais de escritório, informática, gêneros alimentícios, materiais destinados à manutenção da estrutura física, despesas com segurança do trabalho, energia elétrica, água e esgoto, bem como serviços de acesso à internet.</w:t>
      </w:r>
    </w:p>
    <w:tbl>
      <w:tblPr>
        <w:tblW w:w="93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40"/>
        <w:gridCol w:w="5997"/>
        <w:gridCol w:w="1303"/>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sz w:val="18"/>
                <w:szCs w:val="18"/>
                <w:lang w:eastAsia="pt-BR"/>
              </w:rPr>
            </w:pPr>
            <w:r w:rsidRPr="005F1569">
              <w:rPr>
                <w:rFonts w:ascii="Calibri" w:eastAsia="Times New Roman" w:hAnsi="Calibri" w:cs="Calibri"/>
                <w:b/>
                <w:bCs/>
                <w:sz w:val="18"/>
                <w:szCs w:val="18"/>
                <w:lang w:eastAsia="pt-BR"/>
              </w:rPr>
              <w:t>3.3.01.02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sz w:val="18"/>
                <w:szCs w:val="18"/>
                <w:lang w:eastAsia="pt-BR"/>
              </w:rPr>
            </w:pPr>
            <w:r w:rsidRPr="005F1569">
              <w:rPr>
                <w:rFonts w:ascii="Calibri" w:eastAsia="Times New Roman" w:hAnsi="Calibri" w:cs="Calibri"/>
                <w:b/>
                <w:bCs/>
                <w:sz w:val="18"/>
                <w:szCs w:val="18"/>
                <w:lang w:eastAsia="pt-BR"/>
              </w:rPr>
              <w:t>Outras Despesas Administrativas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sz w:val="18"/>
                <w:szCs w:val="18"/>
                <w:lang w:eastAsia="pt-BR"/>
              </w:rPr>
            </w:pPr>
            <w:r w:rsidRPr="005F1569">
              <w:rPr>
                <w:rFonts w:ascii="Calibri" w:eastAsia="Times New Roman" w:hAnsi="Calibri" w:cs="Calibri"/>
                <w:b/>
                <w:bCs/>
                <w:sz w:val="18"/>
                <w:szCs w:val="18"/>
                <w:lang w:eastAsia="pt-BR"/>
              </w:rPr>
              <w:t>366.043,78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3.3.01.02.001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Material de Consumo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70.918,30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3.3.01.02.001.0001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Material de Escritório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1.837,59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3.3.01.02.001.0003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Gêneros Alimentícios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12.839,50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3.3.01.02.001.0005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Material de Copa, Cama, Mesa, Cozinha, Vestuário e Tapeçaria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3.349,87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3.3.01.02.001.0006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Material de Higiene, Limpeza e Conservação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17.353,61</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3.3.01.02.001.0007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Bens de Pequeno Valor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35.537,73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3.3.01.02.002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Utilidades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295.125,48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3.3.01.02.002.0002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Energia Elétrica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71.431,34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3.3.01.02.002.0003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Àgua e Esgoto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9.868,26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3.3.01.02.002.0007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Despesas Cartoriais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533,94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3.3.01.02.002.0008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Correios, Fretes e Malotes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8.238,83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3.3.01.02.002.0009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Custas Judiciais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175.173,11</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3.3.01.02.002.0010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Serviço de Telecomunicações - Tráfego de Dados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29.880,00</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d) Despesas Tributárias referem-se aos pagamentos de IOF, PIS, COFINS, IPTU, ITU e demais taxas estaduais e municipais.</w:t>
      </w:r>
    </w:p>
    <w:tbl>
      <w:tblPr>
        <w:tblW w:w="93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380"/>
        <w:gridCol w:w="5440"/>
        <w:gridCol w:w="1520"/>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sz w:val="18"/>
                <w:szCs w:val="18"/>
                <w:lang w:eastAsia="pt-BR"/>
              </w:rPr>
            </w:pPr>
            <w:r w:rsidRPr="005F1569">
              <w:rPr>
                <w:rFonts w:ascii="Calibri" w:eastAsia="Times New Roman" w:hAnsi="Calibri" w:cs="Calibri"/>
                <w:b/>
                <w:bCs/>
                <w:sz w:val="18"/>
                <w:szCs w:val="18"/>
                <w:lang w:eastAsia="pt-BR"/>
              </w:rPr>
              <w:t>3.3.03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sz w:val="18"/>
                <w:szCs w:val="18"/>
                <w:lang w:eastAsia="pt-BR"/>
              </w:rPr>
            </w:pPr>
            <w:r w:rsidRPr="005F1569">
              <w:rPr>
                <w:rFonts w:ascii="Calibri" w:eastAsia="Times New Roman" w:hAnsi="Calibri" w:cs="Calibri"/>
                <w:b/>
                <w:bCs/>
                <w:sz w:val="18"/>
                <w:szCs w:val="18"/>
                <w:lang w:eastAsia="pt-BR"/>
              </w:rPr>
              <w:t>Despesas Tributárias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sz w:val="18"/>
                <w:szCs w:val="18"/>
                <w:lang w:eastAsia="pt-BR"/>
              </w:rPr>
            </w:pPr>
            <w:r w:rsidRPr="005F1569">
              <w:rPr>
                <w:rFonts w:ascii="Calibri" w:eastAsia="Times New Roman" w:hAnsi="Calibri" w:cs="Calibri"/>
                <w:b/>
                <w:bCs/>
                <w:sz w:val="18"/>
                <w:szCs w:val="18"/>
                <w:lang w:eastAsia="pt-BR"/>
              </w:rPr>
              <w:t>125.529,77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3.3.03.01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Despesas Tributárias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125.529,77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3.3.03.01.001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Tributos Federais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72.266,87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3.3.03.01.001.0003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IRRF - Imposto de Renda Retido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7,82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3.3.03.01.001.0004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Pis Não-Cumulativo sobre Receita Financeira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10.100,73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3.3.03.01.001.0005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Cofins Não-Cumulativo sobre Receita Financeira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62.158,32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3.3.03.01.002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Tributos Estaduais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2.367,00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3.3.03.01.002.0001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Taxas Estaduais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2.367,00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3.3.03.01.003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Tributos Municipais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50.895,90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3.3.03.01.003.0001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IPTU - Imposto Predial Territorial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41.318,60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3.3.03.01.003.0002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ITU Imposto Territorial Urbano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9.439,01</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3.3.03.01.003.0004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Taxas Municipais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138,29</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lastRenderedPageBreak/>
        <w:t>e) Outras Receitas referem-se às indenizações oriundas de processos judiciais, recuperação de despesas e reversão de crédito de liquidação duvidosa. Já as Outras Despesas referem-se às despesas com depreciação, amortização, provisões judiciais (contingências), associações, anuidades, taxas e contribuições mensais e anuais, custeadas com recursos oriundos do Tesouro do Estado de Goiás.</w:t>
      </w:r>
    </w:p>
    <w:tbl>
      <w:tblPr>
        <w:tblW w:w="93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393"/>
        <w:gridCol w:w="5419"/>
        <w:gridCol w:w="1528"/>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sz w:val="18"/>
                <w:szCs w:val="18"/>
                <w:lang w:eastAsia="pt-BR"/>
              </w:rPr>
            </w:pPr>
            <w:r w:rsidRPr="005F1569">
              <w:rPr>
                <w:rFonts w:ascii="Calibri" w:eastAsia="Times New Roman" w:hAnsi="Calibri" w:cs="Calibri"/>
                <w:b/>
                <w:bCs/>
                <w:sz w:val="18"/>
                <w:szCs w:val="18"/>
                <w:lang w:eastAsia="pt-BR"/>
              </w:rPr>
              <w:t>3.1.02.02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sz w:val="18"/>
                <w:szCs w:val="18"/>
                <w:lang w:eastAsia="pt-BR"/>
              </w:rPr>
            </w:pPr>
            <w:r w:rsidRPr="005F1569">
              <w:rPr>
                <w:rFonts w:ascii="Calibri" w:eastAsia="Times New Roman" w:hAnsi="Calibri" w:cs="Calibri"/>
                <w:b/>
                <w:bCs/>
                <w:sz w:val="18"/>
                <w:szCs w:val="18"/>
                <w:lang w:eastAsia="pt-BR"/>
              </w:rPr>
              <w:t>Outras Receitas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sz w:val="18"/>
                <w:szCs w:val="18"/>
                <w:lang w:eastAsia="pt-BR"/>
              </w:rPr>
            </w:pPr>
            <w:r w:rsidRPr="005F1569">
              <w:rPr>
                <w:rFonts w:ascii="Calibri" w:eastAsia="Times New Roman" w:hAnsi="Calibri" w:cs="Calibri"/>
                <w:b/>
                <w:bCs/>
                <w:sz w:val="18"/>
                <w:szCs w:val="18"/>
                <w:lang w:eastAsia="pt-BR"/>
              </w:rPr>
              <w:t>478.232,67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3.1.02.02.001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Outras Receitas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478.232,67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3.1.02.02.001.0002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Reversão de Crédito de Liquidação Duvidosa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199,95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3.1.02.02.001.0005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Recebimento de Multas Previstas em Contratos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475.604,49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3.1.02.02.001.0007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Indenizações Processos Judiciais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2.229,04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3.1.02.02.001.0010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Outras Receitas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199,19</w:t>
            </w:r>
          </w:p>
        </w:tc>
      </w:tr>
    </w:tbl>
    <w:p w:rsidR="005F1569" w:rsidRPr="005F1569" w:rsidRDefault="005F1569" w:rsidP="005F1569">
      <w:pPr>
        <w:spacing w:after="0" w:line="240" w:lineRule="auto"/>
        <w:rPr>
          <w:rFonts w:ascii="Times New Roman" w:eastAsia="Times New Roman" w:hAnsi="Times New Roman" w:cs="Times New Roman"/>
          <w:vanish/>
          <w:color w:val="000000"/>
          <w:sz w:val="27"/>
          <w:szCs w:val="27"/>
          <w:lang w:eastAsia="pt-BR"/>
        </w:rPr>
      </w:pPr>
    </w:p>
    <w:tbl>
      <w:tblPr>
        <w:tblW w:w="93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01"/>
        <w:gridCol w:w="5897"/>
        <w:gridCol w:w="1342"/>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sz w:val="18"/>
                <w:szCs w:val="18"/>
                <w:lang w:eastAsia="pt-BR"/>
              </w:rPr>
            </w:pPr>
            <w:r w:rsidRPr="005F1569">
              <w:rPr>
                <w:rFonts w:ascii="Calibri" w:eastAsia="Times New Roman" w:hAnsi="Calibri" w:cs="Calibri"/>
                <w:b/>
                <w:bCs/>
                <w:sz w:val="18"/>
                <w:szCs w:val="18"/>
                <w:lang w:eastAsia="pt-BR"/>
              </w:rPr>
              <w:t>3.3.04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sz w:val="18"/>
                <w:szCs w:val="18"/>
                <w:lang w:eastAsia="pt-BR"/>
              </w:rPr>
            </w:pPr>
            <w:r w:rsidRPr="005F1569">
              <w:rPr>
                <w:rFonts w:ascii="Calibri" w:eastAsia="Times New Roman" w:hAnsi="Calibri" w:cs="Calibri"/>
                <w:b/>
                <w:bCs/>
                <w:sz w:val="18"/>
                <w:szCs w:val="18"/>
                <w:lang w:eastAsia="pt-BR"/>
              </w:rPr>
              <w:t>Outras Despesas Operacionais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sz w:val="18"/>
                <w:szCs w:val="18"/>
                <w:lang w:eastAsia="pt-BR"/>
              </w:rPr>
            </w:pPr>
            <w:r w:rsidRPr="005F1569">
              <w:rPr>
                <w:rFonts w:ascii="Calibri" w:eastAsia="Times New Roman" w:hAnsi="Calibri" w:cs="Calibri"/>
                <w:b/>
                <w:bCs/>
                <w:sz w:val="18"/>
                <w:szCs w:val="18"/>
                <w:lang w:eastAsia="pt-BR"/>
              </w:rPr>
              <w:t>851.502,75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3.3.04.01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Outras Despesas Operacionais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851.502,75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3.3.04.01.001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Depreciações e Amortizações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542.797,62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3.3.04.01.001.0001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Depreciação de Bens Móveis e Imóveis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243.287,48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3.3.04.01.001.0002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Amortização de Bens Intangível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299.510,14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3.3.04.01.002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Contribuições Patronais e Associações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31.593,62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3.3.04.01.002.0001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Associações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6.748,53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3.3.04.01.002.0002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Contribuições e Mensalidades Patronais Sindicais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13.275,30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3.3.04.01.002.0003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Anuidades e Taxas - Órgãos de Classe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11.569,79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3.3.04.01.003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Sentenças Judiciais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267.710,92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3.3.04.01.003.0001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Sentenças Judiciais Condenatórias Processos Cíveis e Fiscais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267.710,92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3.3.04.01.005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Perdas Monetárias Estimadas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b/>
                <w:bCs/>
                <w:sz w:val="18"/>
                <w:szCs w:val="18"/>
                <w:lang w:eastAsia="pt-BR"/>
              </w:rPr>
              <w:t>9.400,59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3.3.04.01.005.0001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Perdas Estimadas de Liquidação Duvidosa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sz w:val="18"/>
                <w:szCs w:val="18"/>
                <w:lang w:eastAsia="pt-BR"/>
              </w:rPr>
            </w:pPr>
            <w:r w:rsidRPr="005F1569">
              <w:rPr>
                <w:rFonts w:ascii="Calibri" w:eastAsia="Times New Roman" w:hAnsi="Calibri" w:cs="Calibri"/>
                <w:sz w:val="18"/>
                <w:szCs w:val="18"/>
                <w:lang w:eastAsia="pt-BR"/>
              </w:rPr>
              <w:t>9.400,59</w:t>
            </w:r>
          </w:p>
        </w:tc>
      </w:tr>
    </w:tbl>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23.5. Receitas e Despesas Financeiras</w:t>
      </w:r>
    </w:p>
    <w:tbl>
      <w:tblPr>
        <w:tblW w:w="128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283"/>
        <w:gridCol w:w="1108"/>
        <w:gridCol w:w="2093"/>
        <w:gridCol w:w="2243"/>
        <w:gridCol w:w="2093"/>
      </w:tblGrid>
      <w:tr w:rsidR="005F1569" w:rsidRPr="005F1569" w:rsidTr="005F1569">
        <w:trPr>
          <w:trHeight w:val="300"/>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Nota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28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RESULTADO FINANCEIRO LÍQUIDO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23.5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517.531,68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1.573.094,36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259.474,80</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Receitas Financeiras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541.777,32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1.612.747,01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271.250,51</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Despesas Financeiras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(24.245,64)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(39.652,65)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(11.775,71)</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23.5.1. Receitas Financeiras referem-se aos rendimentos de aplicações financeiras, remunerações de contas aplicadas em poupança, atualização monetária de créditos fiscais e valores a receber. As Despesas Financeiras referem-se, principalmente, às tarifas bancárias incidentes sobre movimentações e manutenção das contas bancárias da Companhia.</w:t>
      </w:r>
    </w:p>
    <w:tbl>
      <w:tblPr>
        <w:tblW w:w="93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16"/>
        <w:gridCol w:w="5872"/>
        <w:gridCol w:w="1352"/>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Receitas Financeiras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541.777,32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3.1.04.01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Receitas Financeiras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541.777,32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3.1.04.01.001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Receitas Financeiras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541.777,32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3.1.04.01.001.0001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Rendimentos Financeiros Fonte Alienação de Bens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442.367,65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3.1.04.01.001.0002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Taxa de Juros Aplicadas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27.108,89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3.1.04.01.001.0003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Rendimentos Financeiros Fonte Convênios Federais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21.336,90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3.1.04.01.001.0004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Rendimentos Financeiros Fonte Recursos Arrecadados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47.373,15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3.1.04.01.001.0005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Rendimentos Financeiros Fonte Outros Convênios (FCVS)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2.218,59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3.1.04.01.001.0009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Correção Monetária e Juros na Comercialização de Imóveis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1.372,14</w:t>
            </w:r>
          </w:p>
        </w:tc>
      </w:tr>
    </w:tbl>
    <w:p w:rsidR="005F1569" w:rsidRPr="005F1569" w:rsidRDefault="005F1569" w:rsidP="005F1569">
      <w:pPr>
        <w:spacing w:before="100" w:beforeAutospacing="1" w:after="100" w:afterAutospacing="1" w:line="240" w:lineRule="auto"/>
        <w:jc w:val="both"/>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lastRenderedPageBreak/>
        <w:t>                                                                                                                                                                                                                                 </w:t>
      </w:r>
    </w:p>
    <w:tbl>
      <w:tblPr>
        <w:tblW w:w="93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88"/>
        <w:gridCol w:w="3978"/>
        <w:gridCol w:w="1974"/>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3.3.02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Despesas Financeiras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24.245,64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3.3.02.01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Despesas Financeiras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24.245,64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3.3.02.01.001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Despesas Financeiras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24.245,64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3.3.02.01.001.0001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Tarifas Bancárias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23.170,03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3.3.02.01.001.0002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Juros e Multas Passivas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235,61</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3.3.02.01.001.0008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Serviços Bancários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840,00</w:t>
            </w:r>
          </w:p>
        </w:tc>
      </w:tr>
    </w:tbl>
    <w:p w:rsidR="005F1569" w:rsidRPr="005F1569" w:rsidRDefault="005F1569" w:rsidP="005F1569">
      <w:pPr>
        <w:spacing w:before="100" w:beforeAutospacing="1" w:after="100" w:afterAutospacing="1" w:line="240" w:lineRule="auto"/>
        <w:jc w:val="both"/>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NOTA 23.6. Resultado Líquido do Período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23.6.1. O primeiro trimestre de 2026 da Agência Goiana de Habitação S/A apurou o resultado de R$ 66.060.842,34 (sessenta e seis milhões, sessenta mil oitocentos e quarenta e dois reais e trinta e quatro centavos) , considerando os seus recursos arrecadados, as subvenções governamentais recebidas , sendo aplicados no Programas Habitacionais, pessoal e encargos e manutenções em gerais.</w:t>
      </w:r>
    </w:p>
    <w:tbl>
      <w:tblPr>
        <w:tblW w:w="128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193"/>
        <w:gridCol w:w="991"/>
        <w:gridCol w:w="2160"/>
        <w:gridCol w:w="2316"/>
        <w:gridCol w:w="2160"/>
      </w:tblGrid>
      <w:tr w:rsidR="005F1569" w:rsidRPr="005F1569" w:rsidTr="005F1569">
        <w:trPr>
          <w:trHeight w:val="300"/>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Nota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 RESULTADO LÍQUIDO DO PERÍODO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23.6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66.060.842,34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200.006.423,24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30.152.528,46</w:t>
            </w:r>
          </w:p>
        </w:tc>
      </w:tr>
    </w:tbl>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24. DEMONSTRAÇÃO DOS FLUXOS DE CAIXA (DFC)</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Método Indireto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 A Demonstração de FLUXO DE CAIXA – DFC é obrigatória conforme determina a Lei Federal n. 11.638.2007 e o item 3.17 da Norma Brasileira de Contabilidade </w:t>
      </w:r>
      <w:hyperlink r:id="rId44" w:tgtFrame="_blank" w:history="1">
        <w:r w:rsidRPr="005F1569">
          <w:rPr>
            <w:rFonts w:ascii="Calibri" w:eastAsia="Times New Roman" w:hAnsi="Calibri" w:cs="Calibri"/>
            <w:color w:val="0000FF"/>
            <w:sz w:val="27"/>
            <w:szCs w:val="27"/>
            <w:u w:val="single"/>
            <w:lang w:eastAsia="pt-BR"/>
          </w:rPr>
          <w:t>NBC TG 1000</w:t>
        </w:r>
      </w:hyperlink>
      <w:r w:rsidRPr="005F1569">
        <w:rPr>
          <w:rFonts w:ascii="Calibri" w:eastAsia="Times New Roman" w:hAnsi="Calibri" w:cs="Calibri"/>
          <w:color w:val="000000"/>
          <w:sz w:val="27"/>
          <w:szCs w:val="27"/>
          <w:lang w:eastAsia="pt-BR"/>
        </w:rPr>
        <w:t>, apresentado através das </w:t>
      </w:r>
      <w:r w:rsidRPr="005F1569">
        <w:rPr>
          <w:rFonts w:ascii="Calibri" w:eastAsia="Times New Roman" w:hAnsi="Calibri" w:cs="Calibri"/>
          <w:b/>
          <w:bCs/>
          <w:color w:val="000000"/>
          <w:sz w:val="27"/>
          <w:szCs w:val="27"/>
          <w:lang w:eastAsia="pt-BR"/>
        </w:rPr>
        <w:t>Atividades Operacionais</w:t>
      </w:r>
      <w:r w:rsidRPr="005F1569">
        <w:rPr>
          <w:rFonts w:ascii="Calibri" w:eastAsia="Times New Roman" w:hAnsi="Calibri" w:cs="Calibri"/>
          <w:color w:val="000000"/>
          <w:sz w:val="27"/>
          <w:szCs w:val="27"/>
          <w:lang w:eastAsia="pt-BR"/>
        </w:rPr>
        <w:t>, de</w:t>
      </w:r>
      <w:r w:rsidRPr="005F1569">
        <w:rPr>
          <w:rFonts w:ascii="Calibri" w:eastAsia="Times New Roman" w:hAnsi="Calibri" w:cs="Calibri"/>
          <w:b/>
          <w:bCs/>
          <w:color w:val="000000"/>
          <w:sz w:val="27"/>
          <w:szCs w:val="27"/>
          <w:lang w:eastAsia="pt-BR"/>
        </w:rPr>
        <w:t> Investimento</w:t>
      </w:r>
      <w:r w:rsidRPr="005F1569">
        <w:rPr>
          <w:rFonts w:ascii="Calibri" w:eastAsia="Times New Roman" w:hAnsi="Calibri" w:cs="Calibri"/>
          <w:color w:val="000000"/>
          <w:sz w:val="27"/>
          <w:szCs w:val="27"/>
          <w:lang w:eastAsia="pt-BR"/>
        </w:rPr>
        <w:t> e </w:t>
      </w:r>
      <w:r w:rsidRPr="005F1569">
        <w:rPr>
          <w:rFonts w:ascii="Calibri" w:eastAsia="Times New Roman" w:hAnsi="Calibri" w:cs="Calibri"/>
          <w:b/>
          <w:bCs/>
          <w:color w:val="000000"/>
          <w:sz w:val="27"/>
          <w:szCs w:val="27"/>
          <w:lang w:eastAsia="pt-BR"/>
        </w:rPr>
        <w:t>de Financiamento</w:t>
      </w:r>
      <w:r w:rsidRPr="005F1569">
        <w:rPr>
          <w:rFonts w:ascii="Calibri" w:eastAsia="Times New Roman" w:hAnsi="Calibri" w:cs="Calibri"/>
          <w:color w:val="000000"/>
          <w:sz w:val="27"/>
          <w:szCs w:val="27"/>
          <w:lang w:eastAsia="pt-BR"/>
        </w:rPr>
        <w:t>.</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24.1. Atividades Operacionais</w:t>
      </w:r>
    </w:p>
    <w:p w:rsidR="005F1569" w:rsidRPr="005F1569" w:rsidRDefault="005F1569" w:rsidP="005F1569">
      <w:pPr>
        <w:spacing w:after="0" w:line="240" w:lineRule="auto"/>
        <w:rPr>
          <w:rFonts w:ascii="Times New Roman" w:eastAsia="Times New Roman" w:hAnsi="Times New Roman" w:cs="Times New Roman"/>
          <w:color w:val="000000"/>
          <w:sz w:val="27"/>
          <w:szCs w:val="27"/>
          <w:lang w:eastAsia="pt-BR"/>
        </w:rPr>
      </w:pPr>
      <w:r w:rsidRPr="005F1569">
        <w:rPr>
          <w:rFonts w:ascii="Times New Roman" w:eastAsia="Times New Roman" w:hAnsi="Times New Roman" w:cs="Times New Roman"/>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24.1. Considerando o 1º Trimestre de 2026, foi apurada redução no caixa das atividades operacionais no montante de R$ 26.304.106,18 (vinte e seis milhões, tre</w:t>
      </w:r>
      <w:r w:rsidRPr="005F1569">
        <w:rPr>
          <w:rFonts w:ascii="Calibri" w:eastAsia="Times New Roman" w:hAnsi="Calibri" w:cs="Calibri"/>
          <w:color w:val="000000"/>
          <w:sz w:val="24"/>
          <w:szCs w:val="24"/>
          <w:lang w:eastAsia="pt-BR"/>
        </w:rPr>
        <w:lastRenderedPageBreak/>
        <w:t>zentos e quatro mil, cento e seis reais e dezoito centavos), decorrente da utilização de restos a pagar para subsidiar os pagamentos das notas fiscais emitidas pelas construtoras, relacionadas à ação de Construção de Unidades Habitacionais.</w:t>
      </w:r>
    </w:p>
    <w:tbl>
      <w:tblPr>
        <w:tblW w:w="136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684"/>
        <w:gridCol w:w="841"/>
        <w:gridCol w:w="2113"/>
        <w:gridCol w:w="1966"/>
        <w:gridCol w:w="1996"/>
      </w:tblGrid>
      <w:tr w:rsidR="005F1569" w:rsidRPr="005F1569" w:rsidTr="005F1569">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Nota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Atividades Operacionais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24.1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Lucro Líquido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66.060.842,34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200.006.423,24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30.152.528,46</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Ajustes de: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595.009,72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1.918.094,62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372.031,94</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Depreciação e Amortização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595.009,72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1.918.094,62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372.031,94</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Variação no Capital Circulante e Não Circulante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(92.959.958,24)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98.897.265,43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(70.779.516,37)</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em Contas a Receber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8.955,07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(21.943,74)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(10.900,41)</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em Adiantamento a Obras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929.214,59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em Antecipações a Empregados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(174.787,81)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(37.948,02)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(158.143,25)</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em Adiantamento a Terceiros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(503.405,46)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em Tributos a Recuperar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392.798,38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(59.757,37)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367.195,55</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em Despesas Antecipadas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8.988,41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2.609,54</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em Estoque de Bens do almoxarifado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(38.871,17)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9.529,95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11.649,56</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em Obrigações Trabalhistas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39.235,64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83.467,81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38.842,11</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em Obrigações Sociais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513.967,73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1.890.926,79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1.662.980,06</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em Obrigações Tributárias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(564.869,28)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1.470.591,24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477.651,81</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em Contas a Pagar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20.001.995,28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1.925.534,58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9.219.163,77</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em Provisões Trabalhistas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694.151,89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646.554,08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597.301,12</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em Subvenção Governamental a Realizar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(113.411.389,01)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91.791.749,65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(82.929.469,27)</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em Créditos Vinculados Convênios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82.260,50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260.357,46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(58.396,96)</w:t>
            </w:r>
          </w:p>
        </w:tc>
      </w:tr>
      <w:tr w:rsidR="005F1569" w:rsidRPr="005F1569" w:rsidTr="005F1569">
        <w:trPr>
          <w:trHeight w:val="315"/>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 = ) Caixa Líquido Consumido nas Atividades  Operacionais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(26.304.106,18)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300.821.783,29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(40.254.955,97)</w:t>
            </w:r>
          </w:p>
        </w:tc>
      </w:tr>
    </w:tbl>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24.2. Atividades de Investimento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24.2. A redução no caixa das atividades de investimento, no valor de R$ 1.094.604,74 (um milhão, noventa e quatro mil, seiscentos e quatro reais e setenta e quatro centavos), refere-se às aquisições de bens de informática, bem como à contratação de empresa especializada no desenvolvimento de software.</w:t>
      </w:r>
    </w:p>
    <w:tbl>
      <w:tblPr>
        <w:tblW w:w="136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822"/>
        <w:gridCol w:w="915"/>
        <w:gridCol w:w="2027"/>
        <w:gridCol w:w="2027"/>
        <w:gridCol w:w="1809"/>
      </w:tblGrid>
      <w:tr w:rsidR="005F1569" w:rsidRPr="005F1569" w:rsidTr="005F1569">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Nota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Atividades De Investimento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24.2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Aquisição de  Imobilizado/Desenvolvimento de Software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(1.094.604,74)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(3.827.467,62)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(787.778,35)</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Baixa de Imobilizado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10.754,95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28.706,47</w:t>
            </w:r>
          </w:p>
        </w:tc>
      </w:tr>
      <w:tr w:rsidR="005F1569" w:rsidRPr="005F1569" w:rsidTr="005F1569">
        <w:trPr>
          <w:trHeight w:val="315"/>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 = ) Caixa Líquido Consumido nas Atividades de Investimentos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(1.094.604,74)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(3.816.712,67)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(759.071,88)</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both"/>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lastRenderedPageBreak/>
        <w:t>                                                                                                                                                                                                                   NOTA 24.3. Atividades de Financiamento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24.3. A redução no caixa das atividades de financiamento, no valor de R$ 82.129.260,47 (oitenta e dois milhões, cento e vinte e nove mil, duzentos e sessenta reais e quarenta e sete centavos), refere-se aos valores quitados para subsidiar os Programas Habitacionais, no âmbito da ação social Construção de Unidades Habitacionais – Casas a Custo Zero, cujos valores estão contabilizados na conta Obras em Andamento. As baixas ocorreram à medida da conclusão e da doação das unidades habitacionais aos beneficiários goianos.</w:t>
      </w:r>
    </w:p>
    <w:tbl>
      <w:tblPr>
        <w:tblW w:w="136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69"/>
        <w:gridCol w:w="777"/>
        <w:gridCol w:w="1844"/>
        <w:gridCol w:w="1966"/>
        <w:gridCol w:w="1844"/>
      </w:tblGrid>
      <w:tr w:rsidR="005F1569" w:rsidRPr="005F1569" w:rsidTr="005F1569">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Nota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Atividades de Financiamento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24.3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Devedores com Vendas Compromissadas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40.664,28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Unidades Residenciais Programas de Governo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429.809,70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Terrenos Edificações ou Urbanização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328.910,13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93.339,36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50.126,69</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Tributos a Recuperar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(529.930,75)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(40.625,07)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(414.868,70)</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em Obras em Andamento Programas Habitacionais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(81.921.977,02)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(190.272.281,48)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(37.572.577,63)</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em Obras Concluídas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(2.292.361,53)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Aumento/Redução em Contingencias Judiciais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(6.262,83)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(1.041.000,00)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 = ) Caixa Líquido Consumido nas Atividades de Financiamento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(82.129.260,47)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(193.082.454,74)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(37.937.319,64)</w:t>
            </w:r>
          </w:p>
        </w:tc>
      </w:tr>
    </w:tbl>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24.4. A redução líquida de caixa no primeiro trimestre de 2026, no valor de R$ 109.527.971,39 (cento e nove milhões, quinhentos e vinte e sete mil, novecentos e setenta e um reais e trinta e nove centavos), decorreu principalmente da utilização dos restos a pagar contabilizados no passivo para pagamento das notas fiscais referentes à construção de unidades habitacionais, cujos valores foram registrados na conta Obras em Andamento, no Ativo Circulante.</w:t>
      </w:r>
    </w:p>
    <w:tbl>
      <w:tblPr>
        <w:tblW w:w="136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377"/>
        <w:gridCol w:w="876"/>
        <w:gridCol w:w="2217"/>
        <w:gridCol w:w="2049"/>
        <w:gridCol w:w="2081"/>
      </w:tblGrid>
      <w:tr w:rsidR="005F1569" w:rsidRPr="005F1569" w:rsidTr="005F1569">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Nota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 = ) (Redução)/Aumento Líquido nas Disponibilidades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24.4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(109.527.971,39)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103.922.615,88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(78.951.347,49)</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Saldo de Caixa Início do Exercício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276.313.316,15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172.390.700,27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172.390.700,27</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Saldo de Caixa Final do Exercício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166.785.344,76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276.313.316,15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93.439.352,78</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 = ) Saldo de Caixa Final - Equivalente Caixa Inicial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24.4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(109.527.971,39)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103.922.615,88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(78.951.347,49)</w:t>
            </w:r>
          </w:p>
        </w:tc>
      </w:tr>
    </w:tbl>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firstLine="1699"/>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25. DEMONSTRAÇÃO DO VALOR ADICIONADO (DVA)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lastRenderedPageBreak/>
        <w:t>a) Tem por finalidade evidenciar a riqueza gerada pela AGEHAB e sua respectiva distribuição no resultado do período, sendo requerida pelas práticas contábeis adotadas no Brasil e apresentada como informação suplementar às informações contábeis intermediárias para fins de IFRS.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b) A Demonstração do Valor Adicionado foi elaborada com base em informações obtidas dos registros contábeis que servem de suporte à preparação das informações anuais, em conformidade com as disposições contidas no CPC 09 – Demonstração do Valor Adicionado.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25.1. Na primeira parte, evidencia-se a riqueza gerada por meio das RECEITAS (Alienação de Terrenos, Receita Bruta de Serviços, Subvenção Governamental para Custeio, Subvenção Governamental destinada a subsidiar os Programas Habitacionais do Estado de Goiás e Outras Receitas), totalizando R$ 139.816.891,97 (cento e trinta e nove milhões, oitocentos e dezesseis mil, oitocentos e noventa e um reais e noventa e sete centavos).</w:t>
      </w:r>
    </w:p>
    <w:tbl>
      <w:tblPr>
        <w:tblW w:w="137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00"/>
        <w:gridCol w:w="829"/>
        <w:gridCol w:w="1937"/>
        <w:gridCol w:w="1937"/>
        <w:gridCol w:w="1937"/>
      </w:tblGrid>
      <w:tr w:rsidR="005F1569" w:rsidRPr="005F1569" w:rsidTr="005F1569">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Nota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RECEITAS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25.1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139.816.891,97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746.207.431,37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120.820.457,04</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Receitas Bruta de Serviço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1.281.448,31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5.060.015,14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1.209.598,21</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Receita de Alienação de Bens Imóveis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193.263,47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8.958.667,75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696.477,01</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Subvenção de Custeio  - Recursos Tesouro Estadual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22.019.854,50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87.791.894,10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16.094.665,82</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Subvenção Programas Habitacionais - Recursos Tesouro Estadual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115.824.949,72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642.018.075,74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102.498.006,15</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Subvenção Programas Habitacionais - Recursos União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19.143,30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646.890,93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147.282,34</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Outras Receitas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478.232,67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1.731.887,71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174.427,51</w:t>
            </w:r>
          </w:p>
        </w:tc>
      </w:tr>
    </w:tbl>
    <w:p w:rsidR="005F1569" w:rsidRPr="005F1569" w:rsidRDefault="005F1569" w:rsidP="005F1569">
      <w:pPr>
        <w:spacing w:after="0" w:line="240" w:lineRule="auto"/>
        <w:rPr>
          <w:rFonts w:ascii="Times New Roman" w:eastAsia="Times New Roman" w:hAnsi="Times New Roman" w:cs="Times New Roman"/>
          <w:vanish/>
          <w:sz w:val="24"/>
          <w:szCs w:val="24"/>
          <w:lang w:eastAsia="pt-BR"/>
        </w:rPr>
      </w:pPr>
    </w:p>
    <w:tbl>
      <w:tblPr>
        <w:tblW w:w="8923"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67"/>
        <w:gridCol w:w="5861"/>
        <w:gridCol w:w="1395"/>
      </w:tblGrid>
      <w:tr w:rsidR="005F1569" w:rsidRPr="005F1569" w:rsidTr="005F1569">
        <w:trPr>
          <w:trHeight w:val="22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3.1.01.01.001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Receitas Bruta de Serviços - Recurso Arrecadado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1.281.448,31</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3.1.01.01.001.0001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Receita Gestão da Carteira Imobiliária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1.276.898,31</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3.1.01.01.001.0002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Receita Tarifas de Expediente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4.550,00</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3.1.01.02.003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Outras Receitas Operacionais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193.263,47</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3.1.01.02.003.0008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Alienação de Bens Imóveis Terrenos destinados à edificações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193.263,47</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3.1.02.01.001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Subvenção Governamental para Custeio - Tesouro do Estado de Goiás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22.019.854,50</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3.1.02.01.001.0001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Subvenção Governamental para Custeio (LOA)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16.957.523,02</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3.1.02.01.001.0002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Restos a Pagar - Subvenção Governamental para Custeio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4.104.653,21</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3.1.02.01.001.0004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Restos a Pagar - Subvenção Governamental para Investimento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957.678,27</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3.1.02.01.002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Subvenção Programas Habitacionais - Recurso Tesouro Estadual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115.824.949,72</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3.1.02.01.002.0001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Construção de Unidades Habitacionais - Fonte Protege (LOA)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18.450.852,72</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3.1.02.01.002.0003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Aluguel Social - Fonte Protege (LOA)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24.806.623,87</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3.1.02.01.002.0004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Regularização Fundiária - Fonte Protege (LOA)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144.868,36</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3.1.02.01.002.0007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Construção de Unidades Habitacionais - Fonte FAR/PROTEGE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10.454.851,39</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3.1.02.01.002.0008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Restos a Pagar - Construção de Unidades Habitacionais - Fonte Protege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60.771.493,86</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3.1.02.01.002.0010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Restos a Pagar - Regularização Fundiária - Fonte Protege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27.486,55</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3.1.02.01.002.0011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Restos a Pagar - Reforma de Unidades Habitacionais - Fonte Protege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839.999,00</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3.1.02.01.002.0012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Restos a Pagar - Construção de Unidades Habitacionais -  Recurso Ordinário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328.773,97</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3.1.02.01.003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Subvenção Programas Habitacionais - Recurso União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19.143,30</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lastRenderedPageBreak/>
              <w:t>3.1.02.01.003.0002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Termo de Compromisso nº 0419643-38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60,68</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3.1.02.01.003.0003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Termo de Cooperação e Parceria - João Paulo II</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19.082,62</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3.1.02.02.001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Outras Receitas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478.232,67</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3.1.02.02.001.0002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Reversão de Crédito de Liquidação Duvidosa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199,95</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3.1.02.02.001.0005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Recebimento de Multas Previstas em Contratos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475.604,49</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3.1.02.02.001.0007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Indenizações Processos Judiciais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2.229,04</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3.1.02.02.001.0010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Outras Receitas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199,19</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25"/>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RECEITAS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139.816.891,97</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25.2. Na segunda parte, são evidenciados os custos relacionados aos programas habitacionais e às respectivas ações sociais, bem como as despesas de manutenção da AGEHAB, despesas financeiras, provisões diversas e depreciações/amortizações, totalizando R$ 55.795.427,67 (cinquenta e cinco milhões, setecentos e noventa e cinco mil, quatrocentos e vinte e sete reais e sessenta e sete centavos).</w:t>
      </w:r>
    </w:p>
    <w:tbl>
      <w:tblPr>
        <w:tblW w:w="137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335"/>
        <w:gridCol w:w="962"/>
        <w:gridCol w:w="2097"/>
        <w:gridCol w:w="2249"/>
        <w:gridCol w:w="2097"/>
      </w:tblGrid>
      <w:tr w:rsidR="005F1569" w:rsidRPr="005F1569" w:rsidTr="005F1569">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Nota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(-)INSUMOS ADQUIRIDOS DE TERCEIROS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25.2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55.795.427,67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472.895.399,60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74.463.343,64</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Materiais, Energia, Serviços de Terceiros e Outros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55.462.476,90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469.752.877,89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73.607.585,07</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Perda/Recuperação de Valores Ativos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400.565,65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11.112,08</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Outras Despesas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308.705,13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2.702.303,41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832.870,78</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Despesas Financeiras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24.245,64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39.652,65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11.775,71</w:t>
            </w:r>
          </w:p>
        </w:tc>
      </w:tr>
    </w:tbl>
    <w:p w:rsidR="005F1569" w:rsidRPr="005F1569" w:rsidRDefault="005F1569" w:rsidP="005F1569">
      <w:pPr>
        <w:spacing w:after="0" w:line="240" w:lineRule="auto"/>
        <w:rPr>
          <w:rFonts w:ascii="Times New Roman" w:eastAsia="Times New Roman" w:hAnsi="Times New Roman" w:cs="Times New Roman"/>
          <w:vanish/>
          <w:sz w:val="24"/>
          <w:szCs w:val="24"/>
          <w:lang w:eastAsia="pt-BR"/>
        </w:rPr>
      </w:pPr>
    </w:p>
    <w:tbl>
      <w:tblPr>
        <w:tblW w:w="8963"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41"/>
        <w:gridCol w:w="5864"/>
        <w:gridCol w:w="1358"/>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3.2.01.02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Outros Custos Operacionais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1.290,95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3.2.01.02.001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Material de Consumo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1.290,95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3.2.01.02.001.0011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Materiais Gráficos para eventos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1.290,95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Custo com Serviços de Terceiro - Pessoa Jurídica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2.394.569,90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3.2.01.03.001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Serviços de Terceiro - Pessoa Jurídica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2.394.569,90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3.2.01.03.001.0001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Locação de Bens Móveis e Equipamentos para Eventos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701.121,58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3.2.01.03.001.0007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Manutenção e Atualização de Software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289.823,82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3.2.01.03.001.0009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Locações de Veículos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1.109.064,66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3.2.01.03.001.0011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Publicações de Editais e Atos Oficiais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267.188,80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3.2.01.03.001.0012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Propaganda e Publicidades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7.140,00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3.2.01.03.001.0031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Serviços de Atendimentos Realizados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20.231,04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Custos com Viagens a Serviço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173.572,50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3.2.01.05.001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Custos com Viagens a Serviço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173.572,50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3.2.01.05.001.0001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Diárias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173.572,50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Custo com Obras Administradas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328.910,13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3.2.01.06.001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Custo de Obras Civis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328.910,13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3.2.01.06.001.0005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Custo na Alienação de Terrenos destinados à edificações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328.910,13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3.2.01.10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Aplicação Programas Habitacionais - Recurso do Estado de Goiás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51.600.083,47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Aplicação Programas Habitacionais -  Recurso do Estado de Goiás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51.600.083,47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3.2.01.10.001.0002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Aplicação Programas Habitacionais - Construção Unidades Habitacionais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25.953.460,60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3.2.01.10.001.0003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Aplicação Programas Habitacionais - Reforma Unidades Habitacionais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839.999,00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3.2.01.10.001.0005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Aplicação Programas Habitacionais - Aluguel Social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24.806.623,87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3.3.01.02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Outras Despesas Administrativas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366.043,78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3.3.01.02.001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Material de Consumo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70.918,30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3.3.01.02.001.0001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Material de Escritório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1.837,59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3.3.01.02.001.0003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Gêneros Alimentícios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12.839,50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3.3.01.02.001.0005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Material de Copa, Cama, Mesa, Cozinha, Vestuário e Tapeçaria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3.349,87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lastRenderedPageBreak/>
              <w:t>3.3.01.02.001.0006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Material de Higiene, Limpeza e Conservação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17.353,61</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3.3.01.02.001.0007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Bens de Pequeno Valor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35.537,73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3.3.01.02.002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Utilidades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295.125,48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3.3.01.02.002.0002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Energia Elétrica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71.431,34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3.3.01.02.002.0003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Àgua e Esgoto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9.868,26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3.3.01.02.002.0007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Despesas Cartoriais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533,94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3.3.01.02.002.0008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Correios, Fretes e Malotes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8.238,83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3.3.01.02.002.0009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Custas Judiciais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175.173,11</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3.3.01.02.002.0010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Serviço de Telecomunicações - Tráfego de Dados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29.880,00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3.3.01.03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Serviço de Terceiro - Pessoa Jurídica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598.006,17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3.3.01.03.001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Serviço de Terceiro - Pessoa Jurídica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598.006,17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3.3.01.03.001.0001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Locação de Equipamentos de Informática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58.141,29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3.3.01.03.001.0002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Serviços Técnicos e Profissionais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5.145,40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3.3.01.03.001.0003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Serviço de Auditoria Independente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12.806,15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3.3.01.03.001.0005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Manutenção e Conservação de Bens Móveis e Bens Imóveis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19.600,00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3.3.01.03.001.0007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Assinaturas de Periódicos e Serviços Eletrônicos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11.750,55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3.3.01.03.001.0012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Serviços de Portaria e Vigilância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63.710,04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3.3.01.03.001.0013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Serviços de Limpeza e Conservação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166.870,07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3.3.01.03.001.0016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Serviço de Monitoramento Eletrônico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8.098,59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3.3.01.03.001.0019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Locação de Bens Imóveis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139.327,04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3.3.01.03.001.0020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Serviços de Comunicação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85.906,30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3.3.01.03.001.0021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Serviços de Telefonia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26.650,74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55"/>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Materiais, Energia, Serviços de Terceiros e Outros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55.462.476,90</w:t>
            </w:r>
          </w:p>
        </w:tc>
      </w:tr>
    </w:tbl>
    <w:p w:rsidR="005F1569" w:rsidRPr="005F1569" w:rsidRDefault="005F1569" w:rsidP="005F1569">
      <w:pPr>
        <w:spacing w:after="0" w:line="240" w:lineRule="auto"/>
        <w:rPr>
          <w:rFonts w:ascii="Times New Roman" w:eastAsia="Times New Roman" w:hAnsi="Times New Roman" w:cs="Times New Roman"/>
          <w:vanish/>
          <w:sz w:val="24"/>
          <w:szCs w:val="24"/>
          <w:lang w:eastAsia="pt-BR"/>
        </w:rPr>
      </w:pPr>
    </w:p>
    <w:tbl>
      <w:tblPr>
        <w:tblW w:w="805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12"/>
        <w:gridCol w:w="5087"/>
        <w:gridCol w:w="1158"/>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3.3.04.01.002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Contribuições Patronais e Associações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31.593,62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3.3.04.01.002.0001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Associações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6.748,53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3.3.04.01.002.0002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Contribuições e Mensalidades Patronais Sindicais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13.275,30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3.3.04.01.002.0003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Anuidades e Taxas - Órgãos de Classe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11.569,79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3.3.04.01.003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Sentenças Judiciais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267.710,92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3.3.04.01.003.0001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Sentenças Judiciais Condenatórias Processos Cíveis e Fiscais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267.710,92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3.3.04.01.005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Perdas Monetárias Estimadas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9.400,59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3.3.04.01.005.0001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Perdas Estimadas de Liquidação Duvidosa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9.400,59</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25"/>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OUTRAS DESPESAS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308.705,13</w:t>
            </w:r>
          </w:p>
        </w:tc>
      </w:tr>
    </w:tbl>
    <w:p w:rsidR="005F1569" w:rsidRPr="005F1569" w:rsidRDefault="005F1569" w:rsidP="005F1569">
      <w:pPr>
        <w:spacing w:after="0" w:line="240" w:lineRule="auto"/>
        <w:rPr>
          <w:rFonts w:ascii="Times New Roman" w:eastAsia="Times New Roman" w:hAnsi="Times New Roman" w:cs="Times New Roman"/>
          <w:vanish/>
          <w:sz w:val="24"/>
          <w:szCs w:val="24"/>
          <w:lang w:eastAsia="pt-BR"/>
        </w:rPr>
      </w:pPr>
    </w:p>
    <w:tbl>
      <w:tblPr>
        <w:tblW w:w="93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88"/>
        <w:gridCol w:w="3978"/>
        <w:gridCol w:w="1974"/>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3.3.02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Despesas Financeiras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24.245,64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3.3.02.01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Despesas Financeiras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24.245,64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3.3.02.01.001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Despesas Financeiras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24.245,64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3.3.02.01.001.0001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Tarifas Bancárias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23.170,03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3.3.02.01.001.0002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Juros e Multas Passivas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235,61</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3.3.02.01.001.0008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Serviços Bancários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840,00</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tbl>
      <w:tblPr>
        <w:tblW w:w="137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62"/>
        <w:gridCol w:w="796"/>
        <w:gridCol w:w="1882"/>
        <w:gridCol w:w="2018"/>
        <w:gridCol w:w="1882"/>
      </w:tblGrid>
      <w:tr w:rsidR="005F1569" w:rsidRPr="005F1569" w:rsidTr="005F1569">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(=)VALOR ADICIONADO BRUTO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25.2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84.021.464,30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273.312.031,77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46.357.113,40</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(-)RETENÇÕES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25.2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542.797,62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1.751.256,21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339.049,00</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Depreciação, Amortização e Exaustão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542.797,62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1.751.256,21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339.049,00</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(=)VALOR ADICIONADO LÍQUIDO PRODUZIDO PELA ENTIDADE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25.2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83.478.666,68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271.560.775,56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46.018.064,40</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(+)VALOR ADICIONADO RECEBIDO EM TRANSFERÊNCIA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25.2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541.777,32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1.612.747,01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271.250,51</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Receitas Financeiras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541.777,32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1.612.747,01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271.250,51</w:t>
            </w:r>
          </w:p>
        </w:tc>
      </w:tr>
    </w:tbl>
    <w:p w:rsidR="005F1569" w:rsidRPr="005F1569" w:rsidRDefault="005F1569" w:rsidP="005F1569">
      <w:pPr>
        <w:spacing w:after="0" w:line="240" w:lineRule="auto"/>
        <w:rPr>
          <w:rFonts w:ascii="Times New Roman" w:eastAsia="Times New Roman" w:hAnsi="Times New Roman" w:cs="Times New Roman"/>
          <w:vanish/>
          <w:sz w:val="24"/>
          <w:szCs w:val="24"/>
          <w:lang w:eastAsia="pt-BR"/>
        </w:rPr>
      </w:pPr>
    </w:p>
    <w:tbl>
      <w:tblPr>
        <w:tblW w:w="978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87"/>
        <w:gridCol w:w="5218"/>
        <w:gridCol w:w="1780"/>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lastRenderedPageBreak/>
              <w:t>3.3.04.01.001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Depreciações e Amortizações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542.797,62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3.3.04.01.001.0001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Depreciação de Bens Móveis e Imóveis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243.287,48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3.3.04.01.001.0002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Amortização de Bens Intangível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299.510,14</w:t>
            </w:r>
          </w:p>
        </w:tc>
      </w:tr>
    </w:tbl>
    <w:p w:rsidR="005F1569" w:rsidRPr="005F1569" w:rsidRDefault="005F1569" w:rsidP="005F1569">
      <w:pPr>
        <w:spacing w:after="0" w:line="240" w:lineRule="auto"/>
        <w:rPr>
          <w:rFonts w:ascii="Times New Roman" w:eastAsia="Times New Roman" w:hAnsi="Times New Roman" w:cs="Times New Roman"/>
          <w:vanish/>
          <w:sz w:val="24"/>
          <w:szCs w:val="24"/>
          <w:lang w:eastAsia="pt-BR"/>
        </w:rPr>
      </w:pPr>
    </w:p>
    <w:tbl>
      <w:tblPr>
        <w:tblW w:w="978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17"/>
        <w:gridCol w:w="6152"/>
        <w:gridCol w:w="1416"/>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Receitas Financeiras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541.777,32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3.1.04.01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Receitas Financeiras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541.777,32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3.1.04.01.001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Receitas Financeiras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541.777,32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3.1.04.01.001.0001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Rendimentos Financeiros Fonte Alienação de Bens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442.367,65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3.1.04.01.001.0002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Taxa de Juros Aplicadas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27.108,89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3.1.04.01.001.0003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Rendimentos Financeiros Fonte Convênios Federais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21.336,90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3.1.04.01.001.0004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Rendimentos Financeiros Fonte Recursos Arrecadados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47.373,15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3.1.04.01.001.0005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Rendimentos Financeiros Fonte Outros Convênios (FCVS)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2.218,59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3.1.04.01.001.0009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Correção Monetária e Juros na Comercialização de Imóveis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1.372,14</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25.3. A terceira parte da Demonstração do Valor Adicionado evidencia a distribuição da riqueza gerada entre despesas com pessoal, impostos, taxas e contribuições, bem como o resultado do período, totalizando R$ 84.020.444,00 (oitenta e quatro milhões, vinte mil, quatrocentos e quarenta e quatro reais).</w:t>
      </w:r>
    </w:p>
    <w:tbl>
      <w:tblPr>
        <w:tblW w:w="137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060"/>
        <w:gridCol w:w="998"/>
        <w:gridCol w:w="2175"/>
        <w:gridCol w:w="2332"/>
        <w:gridCol w:w="2175"/>
      </w:tblGrid>
      <w:tr w:rsidR="005F1569" w:rsidRPr="005F1569" w:rsidTr="005F1569">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Nota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(=)VALOR ADICIONADO TOTAL A DISTRIBUIR</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25.2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84.020.444,00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273.173.522,57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46.289.314,91</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(+)DISTRIBUIÇÃO DO VALOR ADICIONADO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25.3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84.020.444,00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273.173.522,57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46.289.314,91</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Pessoal e Encargos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17.304.571,84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70.818.523,39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15.895.773,53</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Impostos, Taxas e Contribuições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655.029,82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2.348.575,94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241.012,92</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Lucros Retidos/Prejuízos do Exercício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66.060.842,34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200.006.423,24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30.152.528,46</w:t>
            </w:r>
          </w:p>
        </w:tc>
      </w:tr>
    </w:tbl>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w:t>
      </w:r>
    </w:p>
    <w:tbl>
      <w:tblPr>
        <w:tblW w:w="8541"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36"/>
        <w:gridCol w:w="5452"/>
        <w:gridCol w:w="1353"/>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3.2.01.01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Mão de Obra Aplicada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13.305.610,48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3.2.01.01.001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Custo com Pessoal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9.540.226,63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Vencimentos e Salários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5.963.919,75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Férias e 1/3 de Férias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1.414.348,05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13º Salário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651.725,40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Gratificação de Função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3.351,48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Horas Extras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428.543,18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3.2.01.01.001.0006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Anuênios e Quinquênios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30.291,84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Função Gratificada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783.067,31</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3.2.01.01.001.0008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Prorrogação Salário Maternidade/Paternidade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29.654,39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3.2.01.01.001.0011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Repouso Remunerado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82.150,72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3.2.01.01.001.0012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Afastamentos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0,00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3.2.01.01.001.0016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Bolsa Estágio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40.233,36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3.2.01.01.001.0018</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Pessoal Requisitado de Outros Órgãos/Entidades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6.992,68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3.2.01.01.001.0019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Multa do art. 477 CLT - atraso no pagamento das verbas rescisórias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105.948,47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3.2.01.01.003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Encargos Sociais Diretos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2.290.607,92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3.2.01.01.003.0001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Contribuição Previdenciária Patronal - Empresa/SAT/Terceiros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1.613.590,58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3.2.01.01.003.0002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FGTS - Fundo de Garantia do Tempo de Serviço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669.702,59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3.2.01.01.003.0005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Fundos de Previdências Estadual/Municipal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7.314,75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3.2.01.01.004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Outros Encargos e Benefícios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1.160.784,49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lastRenderedPageBreak/>
              <w:t>3.2.01.01.004.0001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Vale Transporte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7.442,45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3.2.01.01.004.0002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Vale Alimentação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1.141.800,74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3.2.01.01.004.0004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Auxílio Creche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11.541,30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3.2.01.01.006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Serviços de Terceiros - Pessoa Jurídica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313.991,44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3.2.01.01.006.0002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Mão de Obra Terceirizada - Portadores de Necessidades Especiais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305.903,44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3.2.01.01.006.0003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Serviços Exames Periódicos e Segurança do Trabalho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8.088,00</w:t>
            </w:r>
          </w:p>
        </w:tc>
      </w:tr>
      <w:tr w:rsidR="005F1569" w:rsidRPr="005F1569" w:rsidTr="005F1569">
        <w:trPr>
          <w:trHeight w:val="22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3.3.01.01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Despesas com Pessoal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3.998.961,36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3.3.01.01.001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Salários e Ordenados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2.422.011,36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Vencimentos e Salários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1.211.733,95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Férias e 1/3 de Férias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152.525,81</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13º Salário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157.576,89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Gratificação de Função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2.588,70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Anuênios e Quinquênios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26.941,53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3.3.01.01.001.0006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Função Gratificada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427.930,20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Prorrogação Salário Maternidade/Paternidade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10.804,12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3.3.01.01.001.0009</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Horas Extras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22.702,26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3.3.01.01.001.0010</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Repouso Remunerado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4.377,50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3.3.01.01.001.0014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Bolsa Estágio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20.613,77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3.3.01.01.001.0016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Pessoal Requisitado de Outros Órgãos/Entidades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384.216,63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3.3.01.01.003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Encargos Sociais Diretos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710.376,50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3.3.01.01.003.0001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Contribuição Previdenciária Patronal - Empresa/SAT/Terceiros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491.733,00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3.3.01.01.003.0002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FGTS - Fundo de Garantia do Tempo de Serviço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149.161,28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3.3.01.01.003.0004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Contribuição Previdenciária Patronal Terceiros - INSS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67.369,83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3.3.01.01.003.0005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Fundo de Previdências Estadual/Municipal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2.112,39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3.3.01.01.004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Outros Encargos e Benefícios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304.435,35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3.3.01.01.004.0001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Vale Transporte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3.599,39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3.3.01.01.004.0002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Vale Alimentação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297.357,76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3.3.01.01.004.0003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Auxílio Creche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3.478,20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3.3.01.01.006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Serviços de Terceiros - Pessoa Jurídica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225.288,00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3.3.01.01.006.0004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Mão-de-Obra Terceirizada - Administrativo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225.288,00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3.3.01.01.007</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Despesas com Conselhos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336.850,15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3.3.01.01.007.0001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Conselho de Administração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175.963,28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3.3.01.01.007.0002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Conselho Fiscal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58.151,88</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3.3.01.01.007.0003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Comitê de Auditoria Estatutário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63.967,07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3.3.01.01.007.0004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Comitê de Pessoa Elegibilidade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38.767,92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55"/>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PESSOAL E ENCARGOS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17.304.571,84</w:t>
            </w:r>
          </w:p>
        </w:tc>
      </w:tr>
    </w:tbl>
    <w:p w:rsidR="005F1569" w:rsidRPr="005F1569" w:rsidRDefault="005F1569" w:rsidP="005F1569">
      <w:pPr>
        <w:spacing w:after="0" w:line="240" w:lineRule="auto"/>
        <w:rPr>
          <w:rFonts w:ascii="Times New Roman" w:eastAsia="Times New Roman" w:hAnsi="Times New Roman" w:cs="Times New Roman"/>
          <w:vanish/>
          <w:sz w:val="24"/>
          <w:szCs w:val="24"/>
          <w:lang w:eastAsia="pt-BR"/>
        </w:rPr>
      </w:pPr>
    </w:p>
    <w:tbl>
      <w:tblPr>
        <w:tblW w:w="801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99"/>
        <w:gridCol w:w="4987"/>
        <w:gridCol w:w="1324"/>
      </w:tblGrid>
      <w:tr w:rsidR="005F1569" w:rsidRPr="005F1569" w:rsidTr="005F1569">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Deduções da Receita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529.500,05</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3.1.03.01.001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Impostos sobre Receita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182.606,39</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3.1.03.01.001.0001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Imposto Sobre Serviço - ISS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64.072,42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3.1.03.01.001.0002</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Programa de Integração Social - PIS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21.143,90</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3.1.03.01.001.0003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Contribuição para Fins da Seguridade Social - COFINS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97.390,07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3.1.03.01.003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Desvinculação da Receita Estadual (DRE)</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346.893,66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3.1.03.01.003.0001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Desvinculação da Receita Estadual (DRE) - Recurso Arrecadado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346.893,66</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Despesas Tributárias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125.529,77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3.3.03.01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Despesas Tributárias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125.529,77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3.3.03.01.001</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Tributos Federais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72.266,87</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3.3.03.01.001.0003</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IRRF - Imposto de Renda Retido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7,82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3.3.03.01.001.0004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Pis Não-Cumulativo sobre Receita Financeira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10.100,73</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3.3.03.01.001.0005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Cofins Não-Cumulativo sobre Receita Financeira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62.158,32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55"/>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IMPOSTOS, TAXAS E CONTRIBUIÇÕES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655.029,82</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55"/>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LUCRO RETIDOS/PREJUÍZDOS DO EXERCÍCIO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66.060.842,34</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255"/>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DISTRIBUIÇÃO DO VALOR ADICIONADO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84.020.444,00</w:t>
            </w:r>
          </w:p>
        </w:tc>
      </w:tr>
    </w:tbl>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26. DEMONSTRAÇÃO DO RESULTADO ABRANGENTE (DRA)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26.1. Embora a elaboração da Demonstração do Resultado Abrangente não seja obrigatória para Sociedade Anônima de Capital Fechado, sua apresentação é realizada em atendimento à exigência do Tribunal de Contas do Estado de Goiás. Considerando as particularidades das movimentações da AGEHAB no período, não houve registros de valores relativos aos itens que compõem a Demonstração do Resultado Abrangente.</w:t>
      </w:r>
    </w:p>
    <w:tbl>
      <w:tblPr>
        <w:tblW w:w="1076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855"/>
        <w:gridCol w:w="1271"/>
        <w:gridCol w:w="1363"/>
        <w:gridCol w:w="1271"/>
      </w:tblGrid>
      <w:tr w:rsidR="005F1569" w:rsidRPr="005F1569" w:rsidTr="005F1569">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DESCRIÇÃO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31/03/2026</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31/12/2025</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31/03/2025</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RESULTADO LÍQUIDO DO PERÍODO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66.060.842,34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200.006.423,24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30.152.528,46</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85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Outros resultados abrangentes classificados conforme sua natureza (outras receitas e outras despesas abrangentes)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12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Parcela dos outros resultados abrangentes de empresas investidas reconhecida por meio do método de equivalência patrimonial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RESULTADO ABRANGENTE DO PERÍODO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66.060.842,34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200.006.423,24</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30.152.528,46</w:t>
            </w:r>
          </w:p>
        </w:tc>
      </w:tr>
    </w:tbl>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NOTA 27. PARTES RELACIONADAS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27.1. Conforme previsto no Pronunciamento Técnico CPC 05 (R1), as demonstrações contábeis devem conter divulgações necessárias para chamar a atenção dos usuários quanto à possibilidade de o balanço patrimonial e a demonstração do resultado da entidade serem afetados pela existência de partes relacionadas, bem como por transações, saldos e compromissos mantidos com essas partes.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lastRenderedPageBreak/>
        <w:t>27.2. A Agência Goiana de Habitação S/A possui política vigente de Transações com Partes Relacionadas, aprovada pelo Conselho de Administração, conforme Ata da 456ª Reunião realizada em 28/06/2024 e alterações, com a finalidade de regular e orientar seu corpo funcional na celebração de contratos e demais ajustes envolvendo partes relacionadas e situações que possam gerar potencial conflito de interesses nessas operações.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27.3. Dessa forma, a Política de Transações com Partes Relacionadas tem como objetivo assegurar os interesses da Companhia, alinhada à transparência dos processos e às melhores práticas de Governança Corporativa, sendo que as transações realizadas no primeiro trimestre de 2026 apresentam a seguinte composição: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1. Agência de Fomento de Goiás S/A, totalizando R$ 24.806.623,87 (vinte e quatro milhões, oitocentos e seis mil seiscentos e vinte e três reais e oitenta e sete centavos).</w:t>
      </w:r>
    </w:p>
    <w:tbl>
      <w:tblPr>
        <w:tblW w:w="886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193"/>
        <w:gridCol w:w="2816"/>
        <w:gridCol w:w="1851"/>
      </w:tblGrid>
      <w:tr w:rsidR="005F1569" w:rsidRPr="005F1569" w:rsidTr="005F1569">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Entidades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Natureza da Transação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VALOR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 Agência de Fomento de Goiás S/A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Convênio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24.806.623,87</w:t>
            </w:r>
          </w:p>
        </w:tc>
      </w:tr>
    </w:tbl>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 Por meio do Convênio nº 2023090000033/2023, a AGEHAB repassou à GoiásFomento no período 01/01/2026 a 31/03/2026 no total de R$ 24.806.623,87 (vinte e quatro milhões, oitocentos e seis mil seiscentos e vinte e três reais e oitenta e sete centavos) com o objetivo de promover a transferência de recurso para consecução das ações do "Programa Pra Ter Onde Morar", instituído pela Lei nº 21.186, de 30 de novembro de 2021, para pessoas e famílias em vulnerabilidade socioeconômica, estudantes universitários da Universidade Estadual de Goiás e beneficiários do Programa Universitário do Bem – PROBEM, todos inscritos no Cadastro Único para Programas Sociais do Governo Federal - CadÚnico e que tenham atendido os critérios estabelecidos na referida Lei, com o objetivo de promoção do direito social à moradia digna por intermédio de transferência de renda direta para família, a fim de custear a locação de imóveis residenciais ou o pagamento da prestação da casa própria.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lastRenderedPageBreak/>
        <w:t>2. Governo do Estado de Goiás - Acionista Majoritário, totalizando R$ 139.121.702,53 (cento e trinta e nove milhões, cento e vinte e um mil setecentos e dois reais e cinquenta e três centavos)</w:t>
      </w:r>
    </w:p>
    <w:tbl>
      <w:tblPr>
        <w:tblW w:w="886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09"/>
        <w:gridCol w:w="3181"/>
        <w:gridCol w:w="1970"/>
      </w:tblGrid>
      <w:tr w:rsidR="005F1569" w:rsidRPr="005F1569" w:rsidTr="005F1569">
        <w:trPr>
          <w:trHeight w:val="315"/>
          <w:tblHeader/>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Entidades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Natureza da Transação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VALOR </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 Governo do Estado de Goiás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Acionista Majoritário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139.121.702,53</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2.1 Governo do Estado de Goiás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Subvenção Governamental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137.844.804,22</w:t>
            </w:r>
          </w:p>
        </w:tc>
      </w:tr>
      <w:tr w:rsidR="005F1569" w:rsidRPr="005F1569" w:rsidTr="005F1569">
        <w:trPr>
          <w:trHeight w:val="315"/>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2.2 Governo do Estado de Goiás</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Prestação de Serviço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1.276.898,31</w:t>
            </w:r>
          </w:p>
        </w:tc>
      </w:tr>
    </w:tbl>
    <w:p w:rsidR="005F1569" w:rsidRPr="005F1569" w:rsidRDefault="005F1569" w:rsidP="005F1569">
      <w:pPr>
        <w:spacing w:after="0" w:line="240" w:lineRule="auto"/>
        <w:rPr>
          <w:rFonts w:ascii="Times New Roman" w:eastAsia="Times New Roman" w:hAnsi="Times New Roman" w:cs="Times New Roman"/>
          <w:color w:val="000000"/>
          <w:sz w:val="27"/>
          <w:szCs w:val="27"/>
          <w:lang w:eastAsia="pt-BR"/>
        </w:rPr>
      </w:pPr>
      <w:r w:rsidRPr="005F1569">
        <w:rPr>
          <w:rFonts w:ascii="Times New Roman" w:eastAsia="Times New Roman" w:hAnsi="Times New Roman" w:cs="Times New Roman"/>
          <w:color w:val="000000"/>
          <w:sz w:val="27"/>
          <w:szCs w:val="27"/>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2.1. Governo do Estado de Goiás – Subvenção Governamental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a) O Governo do Estado de Goiás é acionista majoritário da AGEHAB, detendo 196.043.399,42 (cento e noventa e seis milhões, quarenta e três mil, trezentos e noventa e nove reais e quarenta e dois centavos) ações ordinárias nominativas, correspondentes a 99,9540274% das ações da Companhia, considerando a aquisição de 2.476 ações da Saneamento de Goiás S/A em agosto de 2025, conforme Processo nº 202200031000687.</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b) A partir de 2021, a AGEHAB passou a ser enquadrada como empresa estatal dependente do Estado de Goiás, sendo subvencionada pelo Governo do Estado de Goiás, recebendo recursos financeiros destinados ao custeio de suas atividades, incluindo despesas com pessoal e manutenção em geral, além de recursos para execução dos programas habitacionais de interesse social, conforme previsão estatutária.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c) No primeiro trimestre de 2026, as transferências financeiras de recursos estaduais totalizaram R$ 137.844.804,22 (cento e trinta e sete milhões, oitocentos e quarenta e quatro mil, oitocentos e quatro reais e vinte e dois centavos), correspondentes aos valores transferidos pelo Tesouro do Estado de Goiás, por meio da Lei Orçamentária Anual de 2026 e de Restos a Pagar de exercícios anteriores, incluindo recursos de Subvenção para Custeio e Subvenção para Investimento destinados ao financiamento dos Programas Habitacionais de Interesse Social.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2.2. Governo do Estado de Goiás – Prestação de Serviços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4"/>
          <w:szCs w:val="24"/>
          <w:lang w:eastAsia="pt-BR"/>
        </w:rPr>
      </w:pPr>
      <w:r w:rsidRPr="005F1569">
        <w:rPr>
          <w:rFonts w:ascii="Calibri" w:eastAsia="Times New Roman" w:hAnsi="Calibri" w:cs="Calibri"/>
          <w:color w:val="000000"/>
          <w:sz w:val="24"/>
          <w:szCs w:val="24"/>
          <w:lang w:eastAsia="pt-BR"/>
        </w:rPr>
        <w:t>a) Por meio do Contrato nº 006/2023 e do Primeiro Termo Aditivo (documento nº </w:t>
      </w:r>
      <w:hyperlink r:id="rId45" w:tgtFrame="_blank" w:history="1">
        <w:r w:rsidRPr="005F1569">
          <w:rPr>
            <w:rFonts w:ascii="Calibri" w:eastAsia="Times New Roman" w:hAnsi="Calibri" w:cs="Calibri"/>
            <w:color w:val="0000FF"/>
            <w:sz w:val="24"/>
            <w:szCs w:val="24"/>
            <w:u w:val="single"/>
            <w:lang w:eastAsia="pt-BR"/>
          </w:rPr>
          <w:t>70408596</w:t>
        </w:r>
      </w:hyperlink>
      <w:r w:rsidRPr="005F1569">
        <w:rPr>
          <w:rFonts w:ascii="Calibri" w:eastAsia="Times New Roman" w:hAnsi="Calibri" w:cs="Calibri"/>
          <w:color w:val="000000"/>
          <w:sz w:val="24"/>
          <w:szCs w:val="24"/>
          <w:lang w:eastAsia="pt-BR"/>
        </w:rPr>
        <w:t>), vinculado ao Processo nº 202400004105429, referente à prestação de serviços para administração da Carteira Habitacional Imobiliária do Estado de Goiás, a AGEHAB auferiu faturamento no montante de R$ 1.276.898,31 (um milhão, duzentos e setenta e seis mil, oitocentos e noventa e oito reais e trinta e um centavos) no primeiro trimestre de 2026.</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00" w:beforeAutospacing="1" w:after="100" w:afterAutospacing="1" w:line="240" w:lineRule="auto"/>
        <w:jc w:val="both"/>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t> </w:t>
      </w:r>
    </w:p>
    <w:p w:rsidR="005F1569" w:rsidRPr="005F1569" w:rsidRDefault="005F1569" w:rsidP="005F1569">
      <w:pPr>
        <w:spacing w:before="100" w:beforeAutospacing="1" w:after="100" w:afterAutospacing="1" w:line="240" w:lineRule="auto"/>
        <w:jc w:val="both"/>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6"/>
          <w:szCs w:val="26"/>
          <w:lang w:eastAsia="pt-BR"/>
        </w:rPr>
        <w:lastRenderedPageBreak/>
        <w:t>                                                                                                                                                                                                                NOTA 28. REMUNERAÇÃO DOS ADMINISTRADORES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28.1. Conforme Resolução nº 001/2024 de 09 de Dezembro de 2024, integram a Diretoria Executiva como Órgão de Governança de Administração desta Companhia, conforme preconiza o art. 24 do Estatuto desta Companhia: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I – Diretoria-Presidência; / II – Diretoria Vice-Presidência;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III – Diretoria Financeira;/ IV – Diretoria Administrativa;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V – Diretoria de Engenharia e Obras; /VI – Diretoria de Regularização Fundiária e Desenvolvimento Social; e VII – Diretoria de Governança e Compliance.</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28.2. A Diretoria Executiva é um órgão executivo colegiado, com poderes para exercer a administração da AGEHAB, eleita pelo Conselho de Administração, todos com prazo de mandato que serão unificados e não superiores a 2 (dois) anos, permitidas, no máximo, 3 (três) reconduções consecutivas. A Diretoria Executiva da AGEHAB é composta por no mínimo três e no máximo sete diretores, incluindo o Diretor-Presidente e Vice-Presidente, conforme artigo 24 do Estatuto Social.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28.3. Os honorários da Diretoria Executiva serão fixados pela Assembleia Geral dos Acionistas. Os honorários dos diretores poderão atingir até 95% (noventa e cinco por cento) do que for fixado para o presidente, conforme artigo 33 do Estatuto Social.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28.4. Conforme Ata nº 127 Assembleia Geral Extraordinária de 23 de julho de 2024</w:t>
      </w:r>
      <w:r w:rsidRPr="005F1569">
        <w:rPr>
          <w:rFonts w:ascii="Calibri" w:eastAsia="Times New Roman" w:hAnsi="Calibri" w:cs="Calibri"/>
          <w:color w:val="5B9BD5"/>
          <w:sz w:val="27"/>
          <w:szCs w:val="27"/>
          <w:lang w:eastAsia="pt-BR"/>
        </w:rPr>
        <w:t>, </w:t>
      </w:r>
      <w:r w:rsidRPr="005F1569">
        <w:rPr>
          <w:rFonts w:ascii="Calibri" w:eastAsia="Times New Roman" w:hAnsi="Calibri" w:cs="Calibri"/>
          <w:color w:val="000000"/>
          <w:sz w:val="27"/>
          <w:szCs w:val="27"/>
          <w:lang w:eastAsia="pt-BR"/>
        </w:rPr>
        <w:t>nos termos da alínea “h”, §3º, do art. 12 e art. 34, caput e §1º do Estatuto Social, a aplicação da tabela de salários aos diretores, bem como os seus reflexos em relação aos conselheiros de administração, conselheiros fiscais e membros do Comitê de Auditoria Estatutário, passando a remuneração destes aos seguintes valores: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28.5. Diretor Presidente de R$ 36.299,56 (trinta e seis mil duzentos e noventa e nove reais e cinquenta e seis centavos); Diretoria Executiva de R$ 32.306,62 (trinta e dois mil trezentos e seis reais e sessenta e dois centavos),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xml:space="preserve">28.6. Conselheiros de Administração e Fiscais e Membros do Comitê de Auditoria Estatutário de R$ 6.461,32 (seis mil quatrocentos e sessenta e </w:t>
      </w:r>
      <w:r w:rsidRPr="005F1569">
        <w:rPr>
          <w:rFonts w:ascii="Calibri" w:eastAsia="Times New Roman" w:hAnsi="Calibri" w:cs="Calibri"/>
          <w:color w:val="000000"/>
          <w:sz w:val="27"/>
          <w:szCs w:val="27"/>
          <w:lang w:eastAsia="pt-BR"/>
        </w:rPr>
        <w:lastRenderedPageBreak/>
        <w:t>um reais e trinta e dois centavos), haja vista que, deliberado pela 119ª Assembleia Geral Extraordinária, a remuneração destes últimos corresponde a 20% da que, em média, for atribuída a cada diretor, não computados benefícios, verbas de representação e participação nos lucros, nos termos do §2º do Art. 162 da Lei 6.404/1976.</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28.7. O Conselho de Administração, órgão de deliberação colegiada da AGEHAB, será composto por no mínimo 7 (sete) e no máximo 11 (onze) membros, todos com mandato unificado de 2 (dois) anos a contar da data da eleição, permitida, no máximo, 3 (três) reconduções consecutivas, conforme artigo 13 do Estatuto Social.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28.8. O Conselho Fiscal é órgão fiscalizador da administração e funcionará em caráter permanente e com atribuições fixadas em lei, sendo composto por no mínimo, 3 (três) e, no máximo, 5 (cinco) membros efetivos, com igual número de suplentes, eleitos pela Assembleia Geral e o prazo de atuação será unificado e não superior a 2 (dois) anos, permitidas, no máximo, 2 (duas) reconduções consecutivas, conforme artigo 20 do Estatuto Social.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28.9. O Comitê de Auditoria Estatutário será composto por, no mínimo, 3 (três) e, no máximo, 5 (cinco) membros, em sua maioria independentes, eleitos e destituíveis a qualquer tempo pelo Conselho de Administração pelo período de 2 (dois) anos, permitida uma reeleição. A remuneração dos membros do Comitê de Auditoria é fixada pela Assembleia Geral em montante não inferior à remuneração dos conselheiros fiscais, conforme artigo 35 do Estatuto Social.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DESPACHO Nº 2132/2026/AGEHAB/GAGP-20040 (</w:t>
      </w:r>
      <w:hyperlink r:id="rId46" w:tgtFrame="_blank" w:history="1">
        <w:r w:rsidRPr="005F1569">
          <w:rPr>
            <w:rFonts w:ascii="Calibri" w:eastAsia="Times New Roman" w:hAnsi="Calibri" w:cs="Calibri"/>
            <w:color w:val="0000FF"/>
            <w:sz w:val="27"/>
            <w:szCs w:val="27"/>
            <w:u w:val="single"/>
            <w:lang w:eastAsia="pt-BR"/>
          </w:rPr>
          <w:t>89988365</w:t>
        </w:r>
      </w:hyperlink>
      <w:r w:rsidRPr="005F1569">
        <w:rPr>
          <w:rFonts w:ascii="Calibri" w:eastAsia="Times New Roman" w:hAnsi="Calibri" w:cs="Calibri"/>
          <w:color w:val="000000"/>
          <w:sz w:val="27"/>
          <w:szCs w:val="27"/>
          <w:lang w:eastAsia="pt-BR"/>
        </w:rPr>
        <w:t>)</w:t>
      </w:r>
    </w:p>
    <w:tbl>
      <w:tblPr>
        <w:tblW w:w="6266"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633"/>
        <w:gridCol w:w="1633"/>
      </w:tblGrid>
      <w:tr w:rsidR="005F1569" w:rsidRPr="005F1569" w:rsidTr="005F1569">
        <w:trPr>
          <w:trHeight w:val="300"/>
          <w:tblHeader/>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b/>
                <w:bCs/>
                <w:color w:val="000000"/>
                <w:sz w:val="18"/>
                <w:szCs w:val="18"/>
                <w:lang w:eastAsia="pt-BR"/>
              </w:rPr>
            </w:pPr>
            <w:r w:rsidRPr="005F1569">
              <w:rPr>
                <w:rFonts w:ascii="Calibri" w:eastAsia="Times New Roman" w:hAnsi="Calibri" w:cs="Calibri"/>
                <w:b/>
                <w:bCs/>
                <w:color w:val="000000"/>
                <w:sz w:val="18"/>
                <w:szCs w:val="18"/>
                <w:lang w:eastAsia="pt-BR"/>
              </w:rPr>
              <w:t>REMUNERAÇÃO BRUTA  - 1º TRIMESTRE 2026</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Diretoria Executiva</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1.403.718,96</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Conselho de Administração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211.155,83</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Conselho Fiscal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69.782,22</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Comitê de Auditoria Estatutário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76.760,45</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Comitê de Pessoas, Elegibilidade, Sucessão</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color w:val="000000"/>
                <w:sz w:val="18"/>
                <w:szCs w:val="18"/>
                <w:lang w:eastAsia="pt-BR"/>
              </w:rPr>
              <w:t>46.521,48</w:t>
            </w:r>
          </w:p>
        </w:tc>
      </w:tr>
      <w:tr w:rsidR="005F1569" w:rsidRPr="005F1569" w:rsidTr="005F1569">
        <w:trPr>
          <w:trHeight w:val="300"/>
        </w:trPr>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TOTAL</w:t>
            </w:r>
          </w:p>
        </w:tc>
        <w:tc>
          <w:tcPr>
            <w:tcW w:w="0" w:type="auto"/>
            <w:tcBorders>
              <w:top w:val="single" w:sz="6" w:space="0" w:color="000000"/>
              <w:left w:val="single" w:sz="6" w:space="0" w:color="000000"/>
              <w:bottom w:val="single" w:sz="6" w:space="0" w:color="000000"/>
              <w:right w:val="single" w:sz="6" w:space="0" w:color="000000"/>
            </w:tcBorders>
            <w:tcMar>
              <w:top w:w="48" w:type="dxa"/>
              <w:left w:w="48" w:type="dxa"/>
              <w:bottom w:w="48" w:type="dxa"/>
              <w:right w:w="48" w:type="dxa"/>
            </w:tcMar>
            <w:vAlign w:val="center"/>
            <w:hideMark/>
          </w:tcPr>
          <w:p w:rsidR="005F1569" w:rsidRPr="005F1569" w:rsidRDefault="005F1569" w:rsidP="005F1569">
            <w:pPr>
              <w:spacing w:after="0" w:line="240" w:lineRule="auto"/>
              <w:ind w:left="60" w:right="60"/>
              <w:jc w:val="center"/>
              <w:rPr>
                <w:rFonts w:ascii="Calibri" w:eastAsia="Times New Roman" w:hAnsi="Calibri" w:cs="Calibri"/>
                <w:color w:val="000000"/>
                <w:sz w:val="18"/>
                <w:szCs w:val="18"/>
                <w:lang w:eastAsia="pt-BR"/>
              </w:rPr>
            </w:pPr>
            <w:r w:rsidRPr="005F1569">
              <w:rPr>
                <w:rFonts w:ascii="Calibri" w:eastAsia="Times New Roman" w:hAnsi="Calibri" w:cs="Calibri"/>
                <w:b/>
                <w:bCs/>
                <w:color w:val="000000"/>
                <w:sz w:val="18"/>
                <w:szCs w:val="18"/>
                <w:lang w:eastAsia="pt-BR"/>
              </w:rPr>
              <w:t>1.807.938,94</w:t>
            </w:r>
          </w:p>
        </w:tc>
      </w:tr>
    </w:tbl>
    <w:p w:rsidR="005F1569" w:rsidRPr="005F1569" w:rsidRDefault="005F1569" w:rsidP="005F1569">
      <w:pPr>
        <w:spacing w:before="100" w:beforeAutospacing="1" w:after="100" w:afterAutospacing="1" w:line="240" w:lineRule="auto"/>
        <w:jc w:val="center"/>
        <w:rPr>
          <w:rFonts w:ascii="Calibri" w:eastAsia="Times New Roman" w:hAnsi="Calibri" w:cs="Calibri"/>
          <w:caps/>
          <w:color w:val="000000"/>
          <w:sz w:val="26"/>
          <w:szCs w:val="26"/>
          <w:lang w:eastAsia="pt-BR"/>
        </w:rPr>
      </w:pPr>
      <w:r w:rsidRPr="005F1569">
        <w:rPr>
          <w:rFonts w:ascii="Calibri" w:eastAsia="Times New Roman" w:hAnsi="Calibri" w:cs="Calibri"/>
          <w:caps/>
          <w:color w:val="000000"/>
          <w:sz w:val="26"/>
          <w:szCs w:val="26"/>
          <w:lang w:eastAsia="pt-BR"/>
        </w:rPr>
        <w:t> </w:t>
      </w:r>
    </w:p>
    <w:p w:rsidR="005F1569" w:rsidRPr="005F1569" w:rsidRDefault="005F1569" w:rsidP="005F1569">
      <w:pPr>
        <w:spacing w:before="100" w:beforeAutospacing="1" w:after="100" w:afterAutospacing="1" w:line="240" w:lineRule="auto"/>
        <w:jc w:val="center"/>
        <w:rPr>
          <w:rFonts w:ascii="Calibri" w:eastAsia="Times New Roman" w:hAnsi="Calibri" w:cs="Calibri"/>
          <w:caps/>
          <w:color w:val="000000"/>
          <w:sz w:val="26"/>
          <w:szCs w:val="26"/>
          <w:lang w:eastAsia="pt-BR"/>
        </w:rPr>
      </w:pPr>
      <w:r w:rsidRPr="005F1569">
        <w:rPr>
          <w:rFonts w:ascii="Calibri" w:eastAsia="Times New Roman" w:hAnsi="Calibri" w:cs="Calibri"/>
          <w:b/>
          <w:bCs/>
          <w:caps/>
          <w:color w:val="000000"/>
          <w:sz w:val="26"/>
          <w:szCs w:val="26"/>
          <w:lang w:eastAsia="pt-BR"/>
        </w:rPr>
        <w:t>NOTA 29. FATO RELEVANTE</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bookmarkStart w:id="0" w:name="_GoBack"/>
      <w:bookmarkEnd w:id="0"/>
      <w:r w:rsidRPr="005F1569">
        <w:rPr>
          <w:rFonts w:ascii="Calibri" w:eastAsia="Times New Roman" w:hAnsi="Calibri" w:cs="Calibri"/>
          <w:color w:val="000000"/>
          <w:sz w:val="27"/>
          <w:szCs w:val="27"/>
          <w:lang w:eastAsia="pt-BR"/>
        </w:rPr>
        <w:lastRenderedPageBreak/>
        <w:t>29.1. Após a data-base das Demonstrações Financeiras encerradas em 31 de dezembro de 2025, a Agência Goiana de Habitação S/A – AGEHAB tomou conhecimento da decisão judicial proferida em 26 de junho de 2026, nos autos da Ação Civil Pública nº 5581780-24.2026.8.09.0051, em trâmite perante a 5ª Vara da Fazenda Pública Estadual da Comarca de Goiânia, ajuizada pelo Ministério Público do Estado de Goiás em face do Estado de Goiás, da AGEHAB, da Excel Construtora e Incorporadora Ltda e de suas Sociedades de Propósito Específico – SPEs, relacionada à execução do Programa Pra Ter Onde Morar – Casa a Custo Zero, desenvolvido com recursos do Fundo PROTEGE GOIÁS.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29.2. A referida ação judicial decorre de investigação instaurada pelo Ministério Público para apuração de supostas irregularidades relacionadas à execução de contratos celebrados com fundamento nos Editais de Chamamento Público nº 002/2023 e nº 002/2024, envolvendo aspectos relacionados à execução das obras, fiscalização contratual, recebimento de serviços e demais procedimentos administrativos, cujo mérito permanece submetido à apreciação do Poder Judiciário.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29.3. Em sede de tutela antecipada de urgência, o Juízo deferiu parcialmente os pedidos formulados pelo Ministério Público e determinou, dentre outras medidas: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a) a suspensão da entrega das unidades habitacionais executadas pela Excel Construtora e Incorporadora Ltda. e suas SPEs, até ulterior deliberação judicial;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b) a suspensão da emissão dos Termos de Recebimento Definitivo das obras executadas pela referida empresa;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c) a suspensão dos efeitos dos Termos de Recebimento Provisório já emitidos, bem como da validade dos documentos técnicos denominados "As Built" relacionados às obras objeto da ação;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d) a suspensão imediata de todo e qualquer pagamento, repasse ou liberação de recursos financeiros em favor da Excel Construtora e Incorporadora Ltda. e de suas SPEs, inclusive a retenção das faturas remanescentes até ulterior decisão judicial;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e) a realização de prova pericial técnica independente, por equipe especializada designada pelo Conselho Regional de Engenharia e Agronomia de Goiás – CREA/GO, para avaliação das condições técnicas das obras executadas;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lastRenderedPageBreak/>
        <w:t>f) a paralisação de intervenções relacionadas às estruturas de contenção abrangidas pela decisão, até a conclusão das inspeções periciais.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29.4. Em cumprimento às determinações judiciais, a Administração da AGEHAB adotou imediatamente todas as providências administrativas necessárias à sua fiel execução, observando os princípios da legalidade, transparência, integridade, governança corporativa e controle interno.</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29.5. Nesse contexto, a Diretoria Financeira expediu o Despacho nº 57/2026/AGEHAB/DF(</w:t>
      </w:r>
      <w:hyperlink r:id="rId47" w:tgtFrame="_blank" w:history="1">
        <w:r w:rsidRPr="005F1569">
          <w:rPr>
            <w:rFonts w:ascii="Calibri" w:eastAsia="Times New Roman" w:hAnsi="Calibri" w:cs="Calibri"/>
            <w:color w:val="0000FF"/>
            <w:sz w:val="27"/>
            <w:szCs w:val="27"/>
            <w:u w:val="single"/>
            <w:lang w:eastAsia="pt-BR"/>
          </w:rPr>
          <w:t>92546351</w:t>
        </w:r>
      </w:hyperlink>
      <w:r w:rsidRPr="005F1569">
        <w:rPr>
          <w:rFonts w:ascii="Calibri" w:eastAsia="Times New Roman" w:hAnsi="Calibri" w:cs="Calibri"/>
          <w:color w:val="000000"/>
          <w:sz w:val="27"/>
          <w:szCs w:val="27"/>
          <w:lang w:eastAsia="pt-BR"/>
        </w:rPr>
        <w:t>) </w:t>
      </w:r>
      <w:r w:rsidRPr="005F1569">
        <w:rPr>
          <w:rFonts w:ascii="Calibri" w:eastAsia="Times New Roman" w:hAnsi="Calibri" w:cs="Calibri"/>
          <w:color w:val="000000"/>
          <w:sz w:val="24"/>
          <w:szCs w:val="24"/>
          <w:lang w:eastAsia="pt-BR"/>
        </w:rPr>
        <w:t>constante do Processo nº 202600031005829</w:t>
      </w:r>
      <w:r w:rsidRPr="005F1569">
        <w:rPr>
          <w:rFonts w:ascii="Calibri" w:eastAsia="Times New Roman" w:hAnsi="Calibri" w:cs="Calibri"/>
          <w:color w:val="000000"/>
          <w:sz w:val="27"/>
          <w:szCs w:val="27"/>
          <w:lang w:eastAsia="pt-BR"/>
        </w:rPr>
        <w:t>, por meio do qual formalizou o cumprimento da decisão judicial, determinando a suspensão imediata de quaisquer pagamentos, repasses, liberações financeiras ou movimentações de recursos em favor da Excel Construtora e Incorporadora Ltda. e de suas SPEs, bem como a retenção das faturas pendentes, a suspensão da liberação de novos Créditos ICMS relacionados aos contratos alcançados pela decisão judicial, a implementação de bloqueios operacionais nos sistemas financeiros, a elaboração de relatórios de acompanhamento e a adoção de controles internos destinados ao cumprimento integral da ordem judicial.</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29.6. Considerando a relevância do evento e a necessidade de assegurar adequada transparência aos usuários das demonstrações financeiras, a Administração promoveu comunicação formal à empresa de Auditoria Independente – AUDIMEC Auditores Independentes S/S por meio do comunicado nº 3/2026 - AGEHAB/NFCT-20038 (</w:t>
      </w:r>
      <w:hyperlink r:id="rId48" w:tgtFrame="_blank" w:history="1">
        <w:r w:rsidRPr="005F1569">
          <w:rPr>
            <w:rFonts w:ascii="Calibri" w:eastAsia="Times New Roman" w:hAnsi="Calibri" w:cs="Calibri"/>
            <w:color w:val="0000FF"/>
            <w:sz w:val="27"/>
            <w:szCs w:val="27"/>
            <w:u w:val="single"/>
            <w:lang w:eastAsia="pt-BR"/>
          </w:rPr>
          <w:t>92548584</w:t>
        </w:r>
      </w:hyperlink>
      <w:r w:rsidRPr="005F1569">
        <w:rPr>
          <w:rFonts w:ascii="Calibri" w:eastAsia="Times New Roman" w:hAnsi="Calibri" w:cs="Calibri"/>
          <w:color w:val="000000"/>
          <w:sz w:val="27"/>
          <w:szCs w:val="27"/>
          <w:lang w:eastAsia="pt-BR"/>
        </w:rPr>
        <w:t>) , informando a ocorrência da decisão judicial, as providências administrativas implementadas, o acompanhamento permanente dos possíveis reflexos patrimoniais, financeiros, contábeis e operacionais, bem como a observância das disposições da NBC TG 24 (R2) – Evento Subsequente e da NBC TG 25 – Provisões, Passivos Contingentes e Ativos Contingentes. </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29.7. Adicionalmente, em observância às boas práticas de governança corporativa, transparência e controles internos, foram adotadas as medidas administrativas necessárias para comunicação formal dos fatos aos membros do Comitê de Auditoria Estatutário, do Conselho Fiscal e do Conselho de Administração, por meio do DESPACHO Nº 1293/2026/AGEHAB/NFCT-20038 (ID </w:t>
      </w:r>
      <w:hyperlink r:id="rId49" w:tgtFrame="_blank" w:history="1">
        <w:r w:rsidRPr="005F1569">
          <w:rPr>
            <w:rFonts w:ascii="Calibri" w:eastAsia="Times New Roman" w:hAnsi="Calibri" w:cs="Calibri"/>
            <w:color w:val="0000FF"/>
            <w:sz w:val="27"/>
            <w:szCs w:val="27"/>
            <w:u w:val="single"/>
            <w:lang w:eastAsia="pt-BR"/>
          </w:rPr>
          <w:t>92549575</w:t>
        </w:r>
      </w:hyperlink>
      <w:r w:rsidRPr="005F1569">
        <w:rPr>
          <w:rFonts w:ascii="Calibri" w:eastAsia="Times New Roman" w:hAnsi="Calibri" w:cs="Calibri"/>
          <w:color w:val="000000"/>
          <w:sz w:val="27"/>
          <w:szCs w:val="27"/>
          <w:lang w:eastAsia="pt-BR"/>
        </w:rPr>
        <w:t>), assegurando a tempestiva ciência dos órgãos de governança acerca da decisão judicial, das providências adotadas pela Diretoria Financeira e dos possíveis reflexos sobre as Demonstrações Financeiras Intermediárias em 31/03/2026.</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lastRenderedPageBreak/>
        <w:t>29.8. A Administração avaliou os efeitos decorrentes do referido processo judicial à luz das disposições da NBC TG 24 (R2) – Evento Subsequente, concluindo que os fatos ocorreram após a data-base das Demonstrações Financeiras de 31 de março de 2026, não representando condições existentes naquela data e, portanto, não demandando ajustes nos valores reconhecidos nas presentes demonstrações financeiras.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29.9. Todavia, em razão da relevância qualitativa do evento, de seus potenciais reflexos operacionais e da necessidade de adequada transparência perante acionistas, órgãos de controle, usuários das demonstrações financeiras e demais partes interessadas, a Administração entendeu necessária a divulgação do presente Fato Relevante por meio desta Nota Explicativa.</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29.10. Até a data de autorização para emissão destas Demonstrações Financeiras, a Administração não identificou elementos objetivos que permitissem mensurar, com grau razoável de confiabilidade, eventuais impactos patrimoniais ou financeiros adicionais decorrentes da referida ação judicial, permanecendo o acompanhamento contínuo da evolução processual e de seus eventuais desdobramentos. Caso fatos supervenientes venham a alterar essa avaliação, a Companhia adotará tempestivamente os procedimentos contábeis e de divulgação previstos nas Normas Brasileiras de Contabilidade, na legislação societária e nas demais normas aplicáveis.</w:t>
      </w:r>
    </w:p>
    <w:p w:rsidR="005F1569" w:rsidRPr="005F1569" w:rsidRDefault="005F1569" w:rsidP="005F1569">
      <w:pPr>
        <w:spacing w:before="120" w:after="120" w:line="240" w:lineRule="auto"/>
        <w:ind w:left="120" w:right="120"/>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29.11. A Administração reafirma seu compromisso com o integral cumprimento das determinações emanadas pelo Poder Judiciário, com a observância dos princípios da legalidade, da transparência, da prestação de contas (</w:t>
      </w:r>
      <w:r w:rsidRPr="005F1569">
        <w:rPr>
          <w:rFonts w:ascii="Calibri" w:eastAsia="Times New Roman" w:hAnsi="Calibri" w:cs="Calibri"/>
          <w:i/>
          <w:iCs/>
          <w:color w:val="000000"/>
          <w:sz w:val="27"/>
          <w:szCs w:val="27"/>
          <w:lang w:eastAsia="pt-BR"/>
        </w:rPr>
        <w:t>accountability</w:t>
      </w:r>
      <w:r w:rsidRPr="005F1569">
        <w:rPr>
          <w:rFonts w:ascii="Calibri" w:eastAsia="Times New Roman" w:hAnsi="Calibri" w:cs="Calibri"/>
          <w:color w:val="000000"/>
          <w:sz w:val="27"/>
          <w:szCs w:val="27"/>
          <w:lang w:eastAsia="pt-BR"/>
        </w:rPr>
        <w:t>), da boa governança corporativa e da fidedignidade das informações contábeis e financeiras, mantendo seus controles internos permanentemente voltados à adequada evidenciação dos fatos relevantes e à preservação da integridade das Demonstrações Financeiras da Companhia.</w:t>
      </w:r>
    </w:p>
    <w:p w:rsidR="005F1569" w:rsidRPr="005F1569" w:rsidRDefault="005F1569" w:rsidP="005F1569">
      <w:pPr>
        <w:spacing w:before="120" w:after="120" w:line="240" w:lineRule="auto"/>
        <w:ind w:left="120" w:right="120" w:firstLine="1699"/>
        <w:jc w:val="both"/>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NÚCLEO DE CONTABILIDADE em GOIANIA - GO, aos 01 dias do mês de JULHO de 2026.</w:t>
      </w:r>
    </w:p>
    <w:p w:rsidR="005F1569" w:rsidRPr="005F1569" w:rsidRDefault="005F1569" w:rsidP="005F1569">
      <w:pPr>
        <w:spacing w:before="100" w:beforeAutospacing="1" w:after="100" w:afterAutospacing="1" w:line="240" w:lineRule="auto"/>
        <w:jc w:val="center"/>
        <w:rPr>
          <w:rFonts w:ascii="Calibri" w:eastAsia="Times New Roman" w:hAnsi="Calibri" w:cs="Calibri"/>
          <w:b/>
          <w:bCs/>
          <w:caps/>
          <w:color w:val="000000"/>
          <w:sz w:val="26"/>
          <w:szCs w:val="26"/>
          <w:lang w:eastAsia="pt-BR"/>
        </w:rPr>
      </w:pPr>
      <w:r w:rsidRPr="005F1569">
        <w:rPr>
          <w:rFonts w:ascii="Calibri" w:eastAsia="Times New Roman" w:hAnsi="Calibri" w:cs="Calibri"/>
          <w:b/>
          <w:bCs/>
          <w:caps/>
          <w:color w:val="000000"/>
          <w:sz w:val="24"/>
          <w:szCs w:val="24"/>
          <w:lang w:eastAsia="pt-BR"/>
        </w:rPr>
        <w:t>Goiânia - Goiás, 31 de MARÇO de 2026</w:t>
      </w:r>
    </w:p>
    <w:p w:rsidR="005F1569" w:rsidRPr="005F1569" w:rsidRDefault="005F1569" w:rsidP="005F1569">
      <w:pPr>
        <w:spacing w:after="0" w:line="240" w:lineRule="auto"/>
        <w:ind w:left="60" w:right="60"/>
        <w:jc w:val="center"/>
        <w:rPr>
          <w:rFonts w:ascii="Calibri" w:eastAsia="Times New Roman" w:hAnsi="Calibri" w:cs="Calibri"/>
          <w:color w:val="000000"/>
          <w:lang w:eastAsia="pt-BR"/>
        </w:rPr>
      </w:pPr>
      <w:r w:rsidRPr="005F1569">
        <w:rPr>
          <w:rFonts w:ascii="Calibri" w:eastAsia="Times New Roman" w:hAnsi="Calibri" w:cs="Calibri"/>
          <w:color w:val="000000"/>
          <w:lang w:eastAsia="pt-BR"/>
        </w:rPr>
        <w:t> </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KAMILLA GUIMARÃES RODRIGUES</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lastRenderedPageBreak/>
        <w:t>CPF: 913.946.431-87</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Contadora CRC GO 017564/O-8</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NÚCLEO DE CONTABILIDADE</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color w:val="000000"/>
          <w:sz w:val="27"/>
          <w:szCs w:val="27"/>
          <w:lang w:eastAsia="pt-BR"/>
        </w:rPr>
        <w:t> </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ADAILTON FERREIRA TRINDADE</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CPF: 317.250.151-53</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DIRETOR FINANCEIRO</w:t>
      </w:r>
    </w:p>
    <w:p w:rsidR="005F1569" w:rsidRPr="005F1569" w:rsidRDefault="005F1569" w:rsidP="005F1569">
      <w:pPr>
        <w:spacing w:before="120" w:after="120" w:line="240" w:lineRule="auto"/>
        <w:ind w:left="120" w:right="120"/>
        <w:jc w:val="center"/>
        <w:rPr>
          <w:rFonts w:ascii="Calibri" w:eastAsia="Times New Roman" w:hAnsi="Calibri" w:cs="Calibri"/>
          <w:color w:val="000000"/>
          <w:sz w:val="27"/>
          <w:szCs w:val="27"/>
          <w:lang w:eastAsia="pt-BR"/>
        </w:rPr>
      </w:pPr>
      <w:r w:rsidRPr="005F1569">
        <w:rPr>
          <w:rFonts w:ascii="Calibri" w:eastAsia="Times New Roman" w:hAnsi="Calibri" w:cs="Calibri"/>
          <w:b/>
          <w:bCs/>
          <w:color w:val="000000"/>
          <w:sz w:val="27"/>
          <w:szCs w:val="27"/>
          <w:lang w:eastAsia="pt-BR"/>
        </w:rPr>
        <w:t>AGEHAB</w:t>
      </w:r>
    </w:p>
    <w:p w:rsidR="00102000" w:rsidRDefault="00102000"/>
    <w:sectPr w:rsidR="0010200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569"/>
    <w:rsid w:val="00102000"/>
    <w:rsid w:val="005F15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5A577C-2069-4E27-AE99-1E985A082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rsid w:val="005F156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maiusculas">
    <w:name w:val="texto_centralizado_maiusculas"/>
    <w:basedOn w:val="Normal"/>
    <w:rsid w:val="005F156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5F1569"/>
    <w:rPr>
      <w:b/>
      <w:bCs/>
    </w:rPr>
  </w:style>
  <w:style w:type="paragraph" w:customStyle="1" w:styleId="textojustificadoesp15">
    <w:name w:val="texto_justificado_esp15"/>
    <w:basedOn w:val="Normal"/>
    <w:rsid w:val="005F156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esquerda">
    <w:name w:val="texto_alinhado_esquerda"/>
    <w:basedOn w:val="Normal"/>
    <w:rsid w:val="005F156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5F1569"/>
    <w:rPr>
      <w:color w:val="0000FF"/>
      <w:u w:val="single"/>
    </w:rPr>
  </w:style>
  <w:style w:type="character" w:styleId="HiperlinkVisitado">
    <w:name w:val="FollowedHyperlink"/>
    <w:basedOn w:val="Fontepargpadro"/>
    <w:uiPriority w:val="99"/>
    <w:semiHidden/>
    <w:unhideWhenUsed/>
    <w:rsid w:val="005F1569"/>
    <w:rPr>
      <w:color w:val="800080"/>
      <w:u w:val="single"/>
    </w:rPr>
  </w:style>
  <w:style w:type="paragraph" w:styleId="NormalWeb">
    <w:name w:val="Normal (Web)"/>
    <w:basedOn w:val="Normal"/>
    <w:uiPriority w:val="99"/>
    <w:semiHidden/>
    <w:unhideWhenUsed/>
    <w:rsid w:val="005F156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
    <w:name w:val="texto_justificado_recuo_primeira_linha"/>
    <w:basedOn w:val="Normal"/>
    <w:rsid w:val="005F156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itao">
    <w:name w:val="texto_citação"/>
    <w:basedOn w:val="Normal"/>
    <w:rsid w:val="005F156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5F156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9">
    <w:name w:val="tabela_texto_centralizado_9"/>
    <w:basedOn w:val="Normal"/>
    <w:rsid w:val="005F156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maiusculassemnegrito">
    <w:name w:val="texto_centralizado_maiusculas_sem_negrito"/>
    <w:basedOn w:val="Normal"/>
    <w:rsid w:val="005F156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5F156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esp15">
    <w:name w:val="texto_justificado_recuo_primeira_linha_esp15"/>
    <w:basedOn w:val="Normal"/>
    <w:rsid w:val="005F156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5F1569"/>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885595">
      <w:bodyDiv w:val="1"/>
      <w:marLeft w:val="0"/>
      <w:marRight w:val="0"/>
      <w:marTop w:val="0"/>
      <w:marBottom w:val="0"/>
      <w:divBdr>
        <w:top w:val="none" w:sz="0" w:space="0" w:color="auto"/>
        <w:left w:val="none" w:sz="0" w:space="0" w:color="auto"/>
        <w:bottom w:val="none" w:sz="0" w:space="0" w:color="auto"/>
        <w:right w:val="none" w:sz="0" w:space="0" w:color="auto"/>
      </w:divBdr>
      <w:divsChild>
        <w:div w:id="1292445562">
          <w:marLeft w:val="0"/>
          <w:marRight w:val="0"/>
          <w:marTop w:val="0"/>
          <w:marBottom w:val="0"/>
          <w:divBdr>
            <w:top w:val="none" w:sz="0" w:space="0" w:color="auto"/>
            <w:left w:val="none" w:sz="0" w:space="0" w:color="auto"/>
            <w:bottom w:val="none" w:sz="0" w:space="0" w:color="auto"/>
            <w:right w:val="none" w:sz="0" w:space="0" w:color="auto"/>
          </w:divBdr>
          <w:divsChild>
            <w:div w:id="645934302">
              <w:marLeft w:val="0"/>
              <w:marRight w:val="0"/>
              <w:marTop w:val="0"/>
              <w:marBottom w:val="0"/>
              <w:divBdr>
                <w:top w:val="none" w:sz="0" w:space="0" w:color="auto"/>
                <w:left w:val="none" w:sz="0" w:space="0" w:color="auto"/>
                <w:bottom w:val="none" w:sz="0" w:space="0" w:color="auto"/>
                <w:right w:val="none" w:sz="0" w:space="0" w:color="auto"/>
              </w:divBdr>
              <w:divsChild>
                <w:div w:id="1512644418">
                  <w:marLeft w:val="0"/>
                  <w:marRight w:val="0"/>
                  <w:marTop w:val="0"/>
                  <w:marBottom w:val="0"/>
                  <w:divBdr>
                    <w:top w:val="none" w:sz="0" w:space="0" w:color="auto"/>
                    <w:left w:val="none" w:sz="0" w:space="0" w:color="auto"/>
                    <w:bottom w:val="none" w:sz="0" w:space="0" w:color="auto"/>
                    <w:right w:val="none" w:sz="0" w:space="0" w:color="auto"/>
                  </w:divBdr>
                  <w:divsChild>
                    <w:div w:id="72552131">
                      <w:marLeft w:val="0"/>
                      <w:marRight w:val="0"/>
                      <w:marTop w:val="0"/>
                      <w:marBottom w:val="0"/>
                      <w:divBdr>
                        <w:top w:val="none" w:sz="0" w:space="0" w:color="auto"/>
                        <w:left w:val="none" w:sz="0" w:space="0" w:color="auto"/>
                        <w:bottom w:val="none" w:sz="0" w:space="0" w:color="auto"/>
                        <w:right w:val="none" w:sz="0" w:space="0" w:color="auto"/>
                      </w:divBdr>
                      <w:divsChild>
                        <w:div w:id="622462293">
                          <w:marLeft w:val="0"/>
                          <w:marRight w:val="0"/>
                          <w:marTop w:val="0"/>
                          <w:marBottom w:val="0"/>
                          <w:divBdr>
                            <w:top w:val="none" w:sz="0" w:space="0" w:color="auto"/>
                            <w:left w:val="none" w:sz="0" w:space="0" w:color="auto"/>
                            <w:bottom w:val="none" w:sz="0" w:space="0" w:color="auto"/>
                            <w:right w:val="none" w:sz="0" w:space="0" w:color="auto"/>
                          </w:divBdr>
                          <w:divsChild>
                            <w:div w:id="1184594897">
                              <w:marLeft w:val="0"/>
                              <w:marRight w:val="0"/>
                              <w:marTop w:val="0"/>
                              <w:marBottom w:val="0"/>
                              <w:divBdr>
                                <w:top w:val="none" w:sz="0" w:space="0" w:color="auto"/>
                                <w:left w:val="none" w:sz="0" w:space="0" w:color="auto"/>
                                <w:bottom w:val="none" w:sz="0" w:space="0" w:color="auto"/>
                                <w:right w:val="none" w:sz="0" w:space="0" w:color="auto"/>
                              </w:divBdr>
                              <w:divsChild>
                                <w:div w:id="94916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094736">
          <w:marLeft w:val="0"/>
          <w:marRight w:val="0"/>
          <w:marTop w:val="0"/>
          <w:marBottom w:val="0"/>
          <w:divBdr>
            <w:top w:val="none" w:sz="0" w:space="0" w:color="auto"/>
            <w:left w:val="none" w:sz="0" w:space="0" w:color="auto"/>
            <w:bottom w:val="none" w:sz="0" w:space="0" w:color="auto"/>
            <w:right w:val="none" w:sz="0" w:space="0" w:color="auto"/>
          </w:divBdr>
        </w:div>
        <w:div w:id="1204710056">
          <w:marLeft w:val="0"/>
          <w:marRight w:val="0"/>
          <w:marTop w:val="0"/>
          <w:marBottom w:val="0"/>
          <w:divBdr>
            <w:top w:val="none" w:sz="0" w:space="0" w:color="auto"/>
            <w:left w:val="none" w:sz="0" w:space="0" w:color="auto"/>
            <w:bottom w:val="none" w:sz="0" w:space="0" w:color="auto"/>
            <w:right w:val="none" w:sz="0" w:space="0" w:color="auto"/>
          </w:divBdr>
          <w:divsChild>
            <w:div w:id="228272806">
              <w:marLeft w:val="0"/>
              <w:marRight w:val="0"/>
              <w:marTop w:val="0"/>
              <w:marBottom w:val="0"/>
              <w:divBdr>
                <w:top w:val="none" w:sz="0" w:space="0" w:color="auto"/>
                <w:left w:val="none" w:sz="0" w:space="0" w:color="auto"/>
                <w:bottom w:val="none" w:sz="0" w:space="0" w:color="auto"/>
                <w:right w:val="none" w:sz="0" w:space="0" w:color="auto"/>
              </w:divBdr>
              <w:divsChild>
                <w:div w:id="1659504687">
                  <w:marLeft w:val="0"/>
                  <w:marRight w:val="0"/>
                  <w:marTop w:val="0"/>
                  <w:marBottom w:val="0"/>
                  <w:divBdr>
                    <w:top w:val="none" w:sz="0" w:space="0" w:color="auto"/>
                    <w:left w:val="none" w:sz="0" w:space="0" w:color="auto"/>
                    <w:bottom w:val="none" w:sz="0" w:space="0" w:color="auto"/>
                    <w:right w:val="none" w:sz="0" w:space="0" w:color="auto"/>
                  </w:divBdr>
                  <w:divsChild>
                    <w:div w:id="1262644788">
                      <w:marLeft w:val="0"/>
                      <w:marRight w:val="0"/>
                      <w:marTop w:val="0"/>
                      <w:marBottom w:val="0"/>
                      <w:divBdr>
                        <w:top w:val="none" w:sz="0" w:space="0" w:color="auto"/>
                        <w:left w:val="none" w:sz="0" w:space="0" w:color="auto"/>
                        <w:bottom w:val="none" w:sz="0" w:space="0" w:color="auto"/>
                        <w:right w:val="none" w:sz="0" w:space="0" w:color="auto"/>
                      </w:divBdr>
                      <w:divsChild>
                        <w:div w:id="201212998">
                          <w:marLeft w:val="0"/>
                          <w:marRight w:val="0"/>
                          <w:marTop w:val="0"/>
                          <w:marBottom w:val="0"/>
                          <w:divBdr>
                            <w:top w:val="none" w:sz="0" w:space="0" w:color="auto"/>
                            <w:left w:val="none" w:sz="0" w:space="0" w:color="auto"/>
                            <w:bottom w:val="none" w:sz="0" w:space="0" w:color="auto"/>
                            <w:right w:val="none" w:sz="0" w:space="0" w:color="auto"/>
                          </w:divBdr>
                          <w:divsChild>
                            <w:div w:id="422646292">
                              <w:marLeft w:val="0"/>
                              <w:marRight w:val="0"/>
                              <w:marTop w:val="0"/>
                              <w:marBottom w:val="0"/>
                              <w:divBdr>
                                <w:top w:val="none" w:sz="0" w:space="0" w:color="auto"/>
                                <w:left w:val="none" w:sz="0" w:space="0" w:color="auto"/>
                                <w:bottom w:val="none" w:sz="0" w:space="0" w:color="auto"/>
                                <w:right w:val="none" w:sz="0" w:space="0" w:color="auto"/>
                              </w:divBdr>
                              <w:divsChild>
                                <w:div w:id="136047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016630">
          <w:marLeft w:val="0"/>
          <w:marRight w:val="0"/>
          <w:marTop w:val="0"/>
          <w:marBottom w:val="0"/>
          <w:divBdr>
            <w:top w:val="none" w:sz="0" w:space="0" w:color="auto"/>
            <w:left w:val="none" w:sz="0" w:space="0" w:color="auto"/>
            <w:bottom w:val="none" w:sz="0" w:space="0" w:color="auto"/>
            <w:right w:val="none" w:sz="0" w:space="0" w:color="auto"/>
          </w:divBdr>
          <w:divsChild>
            <w:div w:id="239415081">
              <w:marLeft w:val="0"/>
              <w:marRight w:val="0"/>
              <w:marTop w:val="0"/>
              <w:marBottom w:val="0"/>
              <w:divBdr>
                <w:top w:val="none" w:sz="0" w:space="0" w:color="auto"/>
                <w:left w:val="none" w:sz="0" w:space="0" w:color="auto"/>
                <w:bottom w:val="none" w:sz="0" w:space="0" w:color="auto"/>
                <w:right w:val="none" w:sz="0" w:space="0" w:color="auto"/>
              </w:divBdr>
              <w:divsChild>
                <w:div w:id="1881549617">
                  <w:marLeft w:val="0"/>
                  <w:marRight w:val="0"/>
                  <w:marTop w:val="0"/>
                  <w:marBottom w:val="0"/>
                  <w:divBdr>
                    <w:top w:val="none" w:sz="0" w:space="0" w:color="auto"/>
                    <w:left w:val="none" w:sz="0" w:space="0" w:color="auto"/>
                    <w:bottom w:val="none" w:sz="0" w:space="0" w:color="auto"/>
                    <w:right w:val="none" w:sz="0" w:space="0" w:color="auto"/>
                  </w:divBdr>
                  <w:divsChild>
                    <w:div w:id="1501431024">
                      <w:marLeft w:val="0"/>
                      <w:marRight w:val="0"/>
                      <w:marTop w:val="0"/>
                      <w:marBottom w:val="0"/>
                      <w:divBdr>
                        <w:top w:val="none" w:sz="0" w:space="0" w:color="auto"/>
                        <w:left w:val="none" w:sz="0" w:space="0" w:color="auto"/>
                        <w:bottom w:val="none" w:sz="0" w:space="0" w:color="auto"/>
                        <w:right w:val="none" w:sz="0" w:space="0" w:color="auto"/>
                      </w:divBdr>
                      <w:divsChild>
                        <w:div w:id="1949269467">
                          <w:marLeft w:val="0"/>
                          <w:marRight w:val="0"/>
                          <w:marTop w:val="0"/>
                          <w:marBottom w:val="0"/>
                          <w:divBdr>
                            <w:top w:val="none" w:sz="0" w:space="0" w:color="auto"/>
                            <w:left w:val="none" w:sz="0" w:space="0" w:color="auto"/>
                            <w:bottom w:val="none" w:sz="0" w:space="0" w:color="auto"/>
                            <w:right w:val="none" w:sz="0" w:space="0" w:color="auto"/>
                          </w:divBdr>
                          <w:divsChild>
                            <w:div w:id="40135083">
                              <w:marLeft w:val="0"/>
                              <w:marRight w:val="0"/>
                              <w:marTop w:val="0"/>
                              <w:marBottom w:val="0"/>
                              <w:divBdr>
                                <w:top w:val="none" w:sz="0" w:space="0" w:color="auto"/>
                                <w:left w:val="none" w:sz="0" w:space="0" w:color="auto"/>
                                <w:bottom w:val="none" w:sz="0" w:space="0" w:color="auto"/>
                                <w:right w:val="none" w:sz="0" w:space="0" w:color="auto"/>
                              </w:divBdr>
                              <w:divsChild>
                                <w:div w:id="146900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086954">
          <w:marLeft w:val="0"/>
          <w:marRight w:val="0"/>
          <w:marTop w:val="0"/>
          <w:marBottom w:val="0"/>
          <w:divBdr>
            <w:top w:val="none" w:sz="0" w:space="0" w:color="auto"/>
            <w:left w:val="none" w:sz="0" w:space="0" w:color="auto"/>
            <w:bottom w:val="none" w:sz="0" w:space="0" w:color="auto"/>
            <w:right w:val="none" w:sz="0" w:space="0" w:color="auto"/>
          </w:divBdr>
        </w:div>
        <w:div w:id="1226181853">
          <w:marLeft w:val="0"/>
          <w:marRight w:val="0"/>
          <w:marTop w:val="0"/>
          <w:marBottom w:val="0"/>
          <w:divBdr>
            <w:top w:val="none" w:sz="0" w:space="0" w:color="auto"/>
            <w:left w:val="none" w:sz="0" w:space="0" w:color="auto"/>
            <w:bottom w:val="none" w:sz="0" w:space="0" w:color="auto"/>
            <w:right w:val="none" w:sz="0" w:space="0" w:color="auto"/>
          </w:divBdr>
          <w:divsChild>
            <w:div w:id="596254113">
              <w:marLeft w:val="0"/>
              <w:marRight w:val="0"/>
              <w:marTop w:val="0"/>
              <w:marBottom w:val="0"/>
              <w:divBdr>
                <w:top w:val="none" w:sz="0" w:space="0" w:color="auto"/>
                <w:left w:val="none" w:sz="0" w:space="0" w:color="auto"/>
                <w:bottom w:val="none" w:sz="0" w:space="0" w:color="auto"/>
                <w:right w:val="none" w:sz="0" w:space="0" w:color="auto"/>
              </w:divBdr>
              <w:divsChild>
                <w:div w:id="1700816113">
                  <w:marLeft w:val="0"/>
                  <w:marRight w:val="0"/>
                  <w:marTop w:val="0"/>
                  <w:marBottom w:val="0"/>
                  <w:divBdr>
                    <w:top w:val="none" w:sz="0" w:space="0" w:color="auto"/>
                    <w:left w:val="none" w:sz="0" w:space="0" w:color="auto"/>
                    <w:bottom w:val="none" w:sz="0" w:space="0" w:color="auto"/>
                    <w:right w:val="none" w:sz="0" w:space="0" w:color="auto"/>
                  </w:divBdr>
                  <w:divsChild>
                    <w:div w:id="1730884074">
                      <w:marLeft w:val="0"/>
                      <w:marRight w:val="0"/>
                      <w:marTop w:val="0"/>
                      <w:marBottom w:val="0"/>
                      <w:divBdr>
                        <w:top w:val="none" w:sz="0" w:space="0" w:color="auto"/>
                        <w:left w:val="none" w:sz="0" w:space="0" w:color="auto"/>
                        <w:bottom w:val="none" w:sz="0" w:space="0" w:color="auto"/>
                        <w:right w:val="none" w:sz="0" w:space="0" w:color="auto"/>
                      </w:divBdr>
                      <w:divsChild>
                        <w:div w:id="301037592">
                          <w:marLeft w:val="0"/>
                          <w:marRight w:val="0"/>
                          <w:marTop w:val="0"/>
                          <w:marBottom w:val="0"/>
                          <w:divBdr>
                            <w:top w:val="none" w:sz="0" w:space="0" w:color="auto"/>
                            <w:left w:val="none" w:sz="0" w:space="0" w:color="auto"/>
                            <w:bottom w:val="none" w:sz="0" w:space="0" w:color="auto"/>
                            <w:right w:val="none" w:sz="0" w:space="0" w:color="auto"/>
                          </w:divBdr>
                          <w:divsChild>
                            <w:div w:id="1641693566">
                              <w:marLeft w:val="0"/>
                              <w:marRight w:val="0"/>
                              <w:marTop w:val="0"/>
                              <w:marBottom w:val="0"/>
                              <w:divBdr>
                                <w:top w:val="none" w:sz="0" w:space="0" w:color="auto"/>
                                <w:left w:val="none" w:sz="0" w:space="0" w:color="auto"/>
                                <w:bottom w:val="none" w:sz="0" w:space="0" w:color="auto"/>
                                <w:right w:val="none" w:sz="0" w:space="0" w:color="auto"/>
                              </w:divBdr>
                              <w:divsChild>
                                <w:div w:id="15138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740784">
          <w:marLeft w:val="0"/>
          <w:marRight w:val="0"/>
          <w:marTop w:val="0"/>
          <w:marBottom w:val="0"/>
          <w:divBdr>
            <w:top w:val="none" w:sz="0" w:space="0" w:color="auto"/>
            <w:left w:val="none" w:sz="0" w:space="0" w:color="auto"/>
            <w:bottom w:val="none" w:sz="0" w:space="0" w:color="auto"/>
            <w:right w:val="none" w:sz="0" w:space="0" w:color="auto"/>
          </w:divBdr>
          <w:divsChild>
            <w:div w:id="1747799398">
              <w:marLeft w:val="0"/>
              <w:marRight w:val="0"/>
              <w:marTop w:val="0"/>
              <w:marBottom w:val="0"/>
              <w:divBdr>
                <w:top w:val="none" w:sz="0" w:space="0" w:color="auto"/>
                <w:left w:val="none" w:sz="0" w:space="0" w:color="auto"/>
                <w:bottom w:val="none" w:sz="0" w:space="0" w:color="auto"/>
                <w:right w:val="none" w:sz="0" w:space="0" w:color="auto"/>
              </w:divBdr>
              <w:divsChild>
                <w:div w:id="655492599">
                  <w:marLeft w:val="0"/>
                  <w:marRight w:val="0"/>
                  <w:marTop w:val="0"/>
                  <w:marBottom w:val="0"/>
                  <w:divBdr>
                    <w:top w:val="none" w:sz="0" w:space="0" w:color="auto"/>
                    <w:left w:val="none" w:sz="0" w:space="0" w:color="auto"/>
                    <w:bottom w:val="none" w:sz="0" w:space="0" w:color="auto"/>
                    <w:right w:val="none" w:sz="0" w:space="0" w:color="auto"/>
                  </w:divBdr>
                  <w:divsChild>
                    <w:div w:id="704212767">
                      <w:marLeft w:val="0"/>
                      <w:marRight w:val="0"/>
                      <w:marTop w:val="0"/>
                      <w:marBottom w:val="0"/>
                      <w:divBdr>
                        <w:top w:val="none" w:sz="0" w:space="0" w:color="auto"/>
                        <w:left w:val="none" w:sz="0" w:space="0" w:color="auto"/>
                        <w:bottom w:val="none" w:sz="0" w:space="0" w:color="auto"/>
                        <w:right w:val="none" w:sz="0" w:space="0" w:color="auto"/>
                      </w:divBdr>
                      <w:divsChild>
                        <w:div w:id="419983956">
                          <w:marLeft w:val="0"/>
                          <w:marRight w:val="0"/>
                          <w:marTop w:val="0"/>
                          <w:marBottom w:val="0"/>
                          <w:divBdr>
                            <w:top w:val="none" w:sz="0" w:space="0" w:color="auto"/>
                            <w:left w:val="none" w:sz="0" w:space="0" w:color="auto"/>
                            <w:bottom w:val="none" w:sz="0" w:space="0" w:color="auto"/>
                            <w:right w:val="none" w:sz="0" w:space="0" w:color="auto"/>
                          </w:divBdr>
                          <w:divsChild>
                            <w:div w:id="665868345">
                              <w:marLeft w:val="0"/>
                              <w:marRight w:val="0"/>
                              <w:marTop w:val="0"/>
                              <w:marBottom w:val="0"/>
                              <w:divBdr>
                                <w:top w:val="none" w:sz="0" w:space="0" w:color="auto"/>
                                <w:left w:val="none" w:sz="0" w:space="0" w:color="auto"/>
                                <w:bottom w:val="none" w:sz="0" w:space="0" w:color="auto"/>
                                <w:right w:val="none" w:sz="0" w:space="0" w:color="auto"/>
                              </w:divBdr>
                              <w:divsChild>
                                <w:div w:id="159370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99975">
          <w:marLeft w:val="0"/>
          <w:marRight w:val="0"/>
          <w:marTop w:val="0"/>
          <w:marBottom w:val="0"/>
          <w:divBdr>
            <w:top w:val="none" w:sz="0" w:space="0" w:color="auto"/>
            <w:left w:val="none" w:sz="0" w:space="0" w:color="auto"/>
            <w:bottom w:val="none" w:sz="0" w:space="0" w:color="auto"/>
            <w:right w:val="none" w:sz="0" w:space="0" w:color="auto"/>
          </w:divBdr>
        </w:div>
        <w:div w:id="4524023">
          <w:marLeft w:val="0"/>
          <w:marRight w:val="0"/>
          <w:marTop w:val="0"/>
          <w:marBottom w:val="0"/>
          <w:divBdr>
            <w:top w:val="none" w:sz="0" w:space="0" w:color="auto"/>
            <w:left w:val="none" w:sz="0" w:space="0" w:color="auto"/>
            <w:bottom w:val="none" w:sz="0" w:space="0" w:color="auto"/>
            <w:right w:val="none" w:sz="0" w:space="0" w:color="auto"/>
          </w:divBdr>
          <w:divsChild>
            <w:div w:id="287780630">
              <w:marLeft w:val="0"/>
              <w:marRight w:val="0"/>
              <w:marTop w:val="0"/>
              <w:marBottom w:val="0"/>
              <w:divBdr>
                <w:top w:val="none" w:sz="0" w:space="0" w:color="auto"/>
                <w:left w:val="none" w:sz="0" w:space="0" w:color="auto"/>
                <w:bottom w:val="none" w:sz="0" w:space="0" w:color="auto"/>
                <w:right w:val="none" w:sz="0" w:space="0" w:color="auto"/>
              </w:divBdr>
              <w:divsChild>
                <w:div w:id="19942309">
                  <w:marLeft w:val="0"/>
                  <w:marRight w:val="0"/>
                  <w:marTop w:val="0"/>
                  <w:marBottom w:val="0"/>
                  <w:divBdr>
                    <w:top w:val="none" w:sz="0" w:space="0" w:color="auto"/>
                    <w:left w:val="none" w:sz="0" w:space="0" w:color="auto"/>
                    <w:bottom w:val="none" w:sz="0" w:space="0" w:color="auto"/>
                    <w:right w:val="none" w:sz="0" w:space="0" w:color="auto"/>
                  </w:divBdr>
                  <w:divsChild>
                    <w:div w:id="1783721211">
                      <w:marLeft w:val="0"/>
                      <w:marRight w:val="0"/>
                      <w:marTop w:val="0"/>
                      <w:marBottom w:val="0"/>
                      <w:divBdr>
                        <w:top w:val="none" w:sz="0" w:space="0" w:color="auto"/>
                        <w:left w:val="none" w:sz="0" w:space="0" w:color="auto"/>
                        <w:bottom w:val="none" w:sz="0" w:space="0" w:color="auto"/>
                        <w:right w:val="none" w:sz="0" w:space="0" w:color="auto"/>
                      </w:divBdr>
                      <w:divsChild>
                        <w:div w:id="2127114840">
                          <w:marLeft w:val="0"/>
                          <w:marRight w:val="0"/>
                          <w:marTop w:val="0"/>
                          <w:marBottom w:val="0"/>
                          <w:divBdr>
                            <w:top w:val="none" w:sz="0" w:space="0" w:color="auto"/>
                            <w:left w:val="none" w:sz="0" w:space="0" w:color="auto"/>
                            <w:bottom w:val="none" w:sz="0" w:space="0" w:color="auto"/>
                            <w:right w:val="none" w:sz="0" w:space="0" w:color="auto"/>
                          </w:divBdr>
                          <w:divsChild>
                            <w:div w:id="1565483922">
                              <w:marLeft w:val="0"/>
                              <w:marRight w:val="0"/>
                              <w:marTop w:val="0"/>
                              <w:marBottom w:val="0"/>
                              <w:divBdr>
                                <w:top w:val="none" w:sz="0" w:space="0" w:color="auto"/>
                                <w:left w:val="none" w:sz="0" w:space="0" w:color="auto"/>
                                <w:bottom w:val="none" w:sz="0" w:space="0" w:color="auto"/>
                                <w:right w:val="none" w:sz="0" w:space="0" w:color="auto"/>
                              </w:divBdr>
                              <w:divsChild>
                                <w:div w:id="56664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i.go.gov.br/sei/controlador.php?acao=protocolo_visualizar&amp;id_protocolo=87085578&amp;id_procedimento_atual=94208206&amp;infra_sistema=100000100&amp;infra_unidade_atual=20038&amp;infra_hash=bdd0d734f3780db362d14f6d284633d6db8f379b8c604c242c4942dd44d4ee44aa2e1e19880b21612bbc8b587fc09597cc25cb0f9573be9ae848c437f1e0aa1856dc75f74541ea38529b56b3c4180736b3c3bee596a23bd30097df43b264a869" TargetMode="External"/><Relationship Id="rId18" Type="http://schemas.openxmlformats.org/officeDocument/2006/relationships/hyperlink" Target="https://sei.go.gov.br/sei/controlador.php?acao=protocolo_visualizar&amp;id_protocolo=85644682&amp;id_procedimento_atual=94208206&amp;infra_sistema=100000100&amp;infra_unidade_atual=20038&amp;infra_hash=2356be53b350e616f0b4ebaf56326cd542dd16fbf3c2583b10bc76a27dc40840aa2e1e19880b21612bbc8b587fc09597cc25cb0f9573be9ae848c437f1e0aa1856dc75f74541ea38529b56b3c4180736b3c3bee596a23bd30097df43b264a869" TargetMode="External"/><Relationship Id="rId26" Type="http://schemas.openxmlformats.org/officeDocument/2006/relationships/hyperlink" Target="https://sei.go.gov.br/sei/controlador.php?acao=protocolo_visualizar&amp;id_protocolo=85644682&amp;id_procedimento_atual=94208206&amp;infra_sistema=100000100&amp;infra_unidade_atual=20038&amp;infra_hash=2356be53b350e616f0b4ebaf56326cd542dd16fbf3c2583b10bc76a27dc40840aa2e1e19880b21612bbc8b587fc09597cc25cb0f9573be9ae848c437f1e0aa1856dc75f74541ea38529b56b3c4180736b3c3bee596a23bd30097df43b264a869" TargetMode="External"/><Relationship Id="rId39" Type="http://schemas.openxmlformats.org/officeDocument/2006/relationships/hyperlink" Target="https://sei.go.gov.br/sei/controlador.php?acao=protocolo_visualizar&amp;id_protocolo=44929066&amp;id_procedimento_atual=94208206&amp;infra_sistema=100000100&amp;infra_unidade_atual=20038&amp;infra_hash=5d274ab932ad040747861e78ed007115b7352024a185da8894479a02ad2db9d6aa2e1e19880b21612bbc8b587fc09597cc25cb0f9573be9ae848c437f1e0aa1856dc75f74541ea38529b56b3c4180736b3c3bee596a23bd30097df43b264a869" TargetMode="External"/><Relationship Id="rId21" Type="http://schemas.openxmlformats.org/officeDocument/2006/relationships/hyperlink" Target="https://sei.go.gov.br/sei/controlador.php?acao=protocolo_visualizar&amp;id_protocolo=89706602&amp;id_procedimento_atual=94208206&amp;infra_sistema=100000100&amp;infra_unidade_atual=20038&amp;infra_hash=602fde01547d4b871b15aac73c196a78120b3aa4be7cca232d64240c70f1e7b8aa2e1e19880b21612bbc8b587fc09597cc25cb0f9573be9ae848c437f1e0aa1856dc75f74541ea38529b56b3c4180736b3c3bee596a23bd30097df43b264a869" TargetMode="External"/><Relationship Id="rId34" Type="http://schemas.openxmlformats.org/officeDocument/2006/relationships/hyperlink" Target="https://sei.go.gov.br/sei/controlador.php?acao=protocolo_visualizar&amp;id_protocolo=88077823&amp;id_procedimento_atual=94208206&amp;infra_sistema=100000100&amp;infra_unidade_atual=20038&amp;infra_hash=e10b67ac4e284b353e2145a3f3af697c917cfe06fca26f3408ea77c7a0f4eab1aa2e1e19880b21612bbc8b587fc09597cc25cb0f9573be9ae848c437f1e0aa1856dc75f74541ea38529b56b3c4180736b3c3bee596a23bd30097df43b264a869" TargetMode="External"/><Relationship Id="rId42" Type="http://schemas.openxmlformats.org/officeDocument/2006/relationships/hyperlink" Target="https://sei.go.gov.br/sei/controlador.php?acao=protocolo_visualizar&amp;id_protocolo=72985458&amp;id_procedimento_atual=94208206&amp;infra_sistema=100000100&amp;infra_unidade_atual=20038&amp;infra_hash=9b2d6438d73b8204d722f8b1d40f79d959a92424dcb2b7a7056fd2883ff13547aa2e1e19880b21612bbc8b587fc09597cc25cb0f9573be9ae848c437f1e0aa1856dc75f74541ea38529b56b3c4180736b3c3bee596a23bd30097df43b264a869" TargetMode="External"/><Relationship Id="rId47" Type="http://schemas.openxmlformats.org/officeDocument/2006/relationships/hyperlink" Target="https://sei.go.gov.br/sei/controlador.php?acao=protocolo_visualizar&amp;id_protocolo=97462408&amp;id_procedimento_atual=94208206&amp;infra_sistema=100000100&amp;infra_unidade_atual=20038&amp;infra_hash=94447cfbc3c79637ef58139010635e5331e08a503283221e0cb9fb3b93494885aa2e1e19880b21612bbc8b587fc09597cc25cb0f9573be9ae848c437f1e0aa1856dc75f74541ea38529b56b3c4180736b3c3bee596a23bd30097df43b264a869" TargetMode="External"/><Relationship Id="rId50" Type="http://schemas.openxmlformats.org/officeDocument/2006/relationships/fontTable" Target="fontTable.xml"/><Relationship Id="rId7" Type="http://schemas.openxmlformats.org/officeDocument/2006/relationships/hyperlink" Target="https://sei.go.gov.br/sei/controlador.php?acao=protocolo_visualizar&amp;id_protocolo=80360771&amp;id_procedimento_atual=94208206&amp;infra_sistema=100000100&amp;infra_unidade_atual=20038&amp;infra_hash=94ee38775e514cee0443da8888d1af780869a04287b4a71848c189febcf8aa7faa2e1e19880b21612bbc8b587fc09597cc25cb0f9573be9ae848c437f1e0aa1856dc75f74541ea38529b56b3c4180736b3c3bee596a23bd30097df43b264a869" TargetMode="External"/><Relationship Id="rId2" Type="http://schemas.openxmlformats.org/officeDocument/2006/relationships/settings" Target="settings.xml"/><Relationship Id="rId16" Type="http://schemas.openxmlformats.org/officeDocument/2006/relationships/hyperlink" Target="https://sei.go.gov.br/sei/controlador.php?acao=protocolo_visualizar&amp;id_protocolo=87842130&amp;id_procedimento_atual=94208206&amp;infra_sistema=100000100&amp;infra_unidade_atual=20038&amp;infra_hash=c398b42bb8d7163699309196eaef16e3118708d1710e74da0ca12f46c4c3a43faa2e1e19880b21612bbc8b587fc09597cc25cb0f9573be9ae848c437f1e0aa1856dc75f74541ea38529b56b3c4180736b3c3bee596a23bd30097df43b264a869" TargetMode="External"/><Relationship Id="rId29" Type="http://schemas.openxmlformats.org/officeDocument/2006/relationships/hyperlink" Target="https://sei.go.gov.br/sei/controlador.php?acao=protocolo_visualizar&amp;id_protocolo=67458802&amp;id_procedimento_atual=94208206&amp;infra_sistema=100000100&amp;infra_unidade_atual=20038&amp;infra_hash=555b9920cf4e93114c64cec61f4aabb4bf4f80c2219f1bd38d522b3ed61aa72faa2e1e19880b21612bbc8b587fc09597cc25cb0f9573be9ae848c437f1e0aa1856dc75f74541ea38529b56b3c4180736b3c3bee596a23bd30097df43b264a869" TargetMode="External"/><Relationship Id="rId11" Type="http://schemas.openxmlformats.org/officeDocument/2006/relationships/hyperlink" Target="https://sei.go.gov.br/sei/controlador.php?acao=protocolo_visualizar&amp;id_protocolo=87644598&amp;id_procedimento_atual=94208206&amp;infra_sistema=100000100&amp;infra_unidade_atual=20038&amp;infra_hash=15d0b288a60efc3272eed8b2dc7aa3678f1c8f225e1cfd00e59cd3af33046a0eaa2e1e19880b21612bbc8b587fc09597cc25cb0f9573be9ae848c437f1e0aa1856dc75f74541ea38529b56b3c4180736b3c3bee596a23bd30097df43b264a869" TargetMode="External"/><Relationship Id="rId24" Type="http://schemas.openxmlformats.org/officeDocument/2006/relationships/hyperlink" Target="https://sei.go.gov.br/sei/controlador.php?acao=protocolo_visualizar&amp;id_protocolo=78740466&amp;id_procedimento_atual=94208206&amp;infra_sistema=100000100&amp;infra_unidade_atual=20038&amp;infra_hash=79e3a7fbe0613ecdfe38f6082e274241b84018096a161b3d5ac87f027c1f3d24aa2e1e19880b21612bbc8b587fc09597cc25cb0f9573be9ae848c437f1e0aa1856dc75f74541ea38529b56b3c4180736b3c3bee596a23bd30097df43b264a869" TargetMode="External"/><Relationship Id="rId32" Type="http://schemas.openxmlformats.org/officeDocument/2006/relationships/hyperlink" Target="https://sei.go.gov.br/sei/controlador.php?acao=protocolo_visualizar&amp;id_protocolo=85420227&amp;id_procedimento_atual=94208206&amp;infra_sistema=100000100&amp;infra_unidade_atual=20038&amp;infra_hash=76464ec4ddb7502d279dc02666bc024e21dc60b091e9d033de259d10cb18fd4faa2e1e19880b21612bbc8b587fc09597cc25cb0f9573be9ae848c437f1e0aa1856dc75f74541ea38529b56b3c4180736b3c3bee596a23bd30097df43b264a869" TargetMode="External"/><Relationship Id="rId37" Type="http://schemas.openxmlformats.org/officeDocument/2006/relationships/hyperlink" Target="https://sei.go.gov.br/sei/controlador.php?acao=protocolo_visualizar&amp;id_protocolo=72985458&amp;id_procedimento_atual=94208206&amp;infra_sistema=100000100&amp;infra_unidade_atual=20038&amp;infra_hash=9b2d6438d73b8204d722f8b1d40f79d959a92424dcb2b7a7056fd2883ff13547aa2e1e19880b21612bbc8b587fc09597cc25cb0f9573be9ae848c437f1e0aa1856dc75f74541ea38529b56b3c4180736b3c3bee596a23bd30097df43b264a869" TargetMode="External"/><Relationship Id="rId40" Type="http://schemas.openxmlformats.org/officeDocument/2006/relationships/hyperlink" Target="https://sei.go.gov.br/sei/controlador.php?acao=protocolo_visualizar&amp;id_protocolo=72985458&amp;id_procedimento_atual=94208206&amp;infra_sistema=100000100&amp;infra_unidade_atual=20038&amp;infra_hash=9b2d6438d73b8204d722f8b1d40f79d959a92424dcb2b7a7056fd2883ff13547aa2e1e19880b21612bbc8b587fc09597cc25cb0f9573be9ae848c437f1e0aa1856dc75f74541ea38529b56b3c4180736b3c3bee596a23bd30097df43b264a869" TargetMode="External"/><Relationship Id="rId45" Type="http://schemas.openxmlformats.org/officeDocument/2006/relationships/hyperlink" Target="https://sei.go.gov.br/sei/controlador.php?acao=protocolo_visualizar&amp;id_protocolo=73174487&amp;id_procedimento_atual=94208206&amp;infra_sistema=100000100&amp;infra_unidade_atual=20038&amp;infra_hash=6b4f8ecd96af499010f366080aea6d44a91f68b344fd9551815c0fd19da5a0c4aa2e1e19880b21612bbc8b587fc09597cc25cb0f9573be9ae848c437f1e0aa1856dc75f74541ea38529b56b3c4180736b3c3bee596a23bd30097df43b264a869" TargetMode="External"/><Relationship Id="rId5" Type="http://schemas.openxmlformats.org/officeDocument/2006/relationships/hyperlink" Target="https://sei.go.gov.br/sei/controlador.php?acao=protocolo_visualizar&amp;id_protocolo=72985458&amp;id_procedimento_atual=94208206&amp;infra_sistema=100000100&amp;infra_unidade_atual=20038&amp;infra_hash=9b2d6438d73b8204d722f8b1d40f79d959a92424dcb2b7a7056fd2883ff13547aa2e1e19880b21612bbc8b587fc09597cc25cb0f9573be9ae848c437f1e0aa1856dc75f74541ea38529b56b3c4180736b3c3bee596a23bd30097df43b264a869" TargetMode="External"/><Relationship Id="rId15" Type="http://schemas.openxmlformats.org/officeDocument/2006/relationships/hyperlink" Target="https://sei.go.gov.br/sei/controlador.php?acao=protocolo_visualizar&amp;id_protocolo=87842197&amp;id_procedimento_atual=94208206&amp;infra_sistema=100000100&amp;infra_unidade_atual=20038&amp;infra_hash=6dbe7fc35382c445e53e3fc688aedf38fb29776e5f3935888fe629dbeb413d5caa2e1e19880b21612bbc8b587fc09597cc25cb0f9573be9ae848c437f1e0aa1856dc75f74541ea38529b56b3c4180736b3c3bee596a23bd30097df43b264a869" TargetMode="External"/><Relationship Id="rId23" Type="http://schemas.openxmlformats.org/officeDocument/2006/relationships/hyperlink" Target="https://sei.go.gov.br/sei/controlador.php?acao=protocolo_visualizar&amp;id_protocolo=80034272&amp;id_procedimento_atual=94208206&amp;infra_sistema=100000100&amp;infra_unidade_atual=20038&amp;infra_hash=edfd0c238a989cf2f0f0cdc99c142dd7941f01f528ccde77bc363331b3847a80aa2e1e19880b21612bbc8b587fc09597cc25cb0f9573be9ae848c437f1e0aa1856dc75f74541ea38529b56b3c4180736b3c3bee596a23bd30097df43b264a869" TargetMode="External"/><Relationship Id="rId28" Type="http://schemas.openxmlformats.org/officeDocument/2006/relationships/hyperlink" Target="https://sei.go.gov.br/sei/controlador.php?acao=protocolo_visualizar&amp;id_protocolo=89706602&amp;id_procedimento_atual=94208206&amp;infra_sistema=100000100&amp;infra_unidade_atual=20038&amp;infra_hash=602fde01547d4b871b15aac73c196a78120b3aa4be7cca232d64240c70f1e7b8aa2e1e19880b21612bbc8b587fc09597cc25cb0f9573be9ae848c437f1e0aa1856dc75f74541ea38529b56b3c4180736b3c3bee596a23bd30097df43b264a869" TargetMode="External"/><Relationship Id="rId36" Type="http://schemas.openxmlformats.org/officeDocument/2006/relationships/hyperlink" Target="https://sei.go.gov.br/sei/controlador.php?acao=protocolo_visualizar&amp;id_protocolo=88083096&amp;id_procedimento_atual=94208206&amp;infra_sistema=100000100&amp;infra_unidade_atual=20038&amp;infra_hash=7a4b2e05dcc80bf334994a41b728cbc708f3d9e404c751b4da58cf31e2b5f370aa2e1e19880b21612bbc8b587fc09597cc25cb0f9573be9ae848c437f1e0aa1856dc75f74541ea38529b56b3c4180736b3c3bee596a23bd30097df43b264a869" TargetMode="External"/><Relationship Id="rId49" Type="http://schemas.openxmlformats.org/officeDocument/2006/relationships/hyperlink" Target="https://sei.go.gov.br/sei/controlador.php?acao=protocolo_visualizar&amp;id_protocolo=97465912&amp;id_procedimento_atual=94208206&amp;infra_sistema=100000100&amp;infra_unidade_atual=20038&amp;infra_hash=bce7d81ae0807c723343dbbf427d2bd199c1d2042b493a79841a92571269dfb2aa2e1e19880b21612bbc8b587fc09597cc25cb0f9573be9ae848c437f1e0aa1856dc75f74541ea38529b56b3c4180736b3c3bee596a23bd30097df43b264a869" TargetMode="External"/><Relationship Id="rId10" Type="http://schemas.openxmlformats.org/officeDocument/2006/relationships/hyperlink" Target="https://sei.go.gov.br/sei/controlador.php?acao=protocolo_visualizar&amp;id_protocolo=93529417&amp;id_procedimento_atual=94208206&amp;infra_sistema=100000100&amp;infra_unidade_atual=20038&amp;infra_hash=bd9334474ad467812748b3f89fab7d4c93761b9a60041374ffb33a6eb24972d2aa2e1e19880b21612bbc8b587fc09597cc25cb0f9573be9ae848c437f1e0aa1856dc75f74541ea38529b56b3c4180736b3c3bee596a23bd30097df43b264a869" TargetMode="External"/><Relationship Id="rId19" Type="http://schemas.openxmlformats.org/officeDocument/2006/relationships/hyperlink" Target="https://sei.go.gov.br/sei/controlador.php?acao=protocolo_visualizar&amp;id_protocolo=89688367&amp;id_procedimento_atual=94208206&amp;infra_sistema=100000100&amp;infra_unidade_atual=20038&amp;infra_hash=007daf4fd9e9cdb31cc49d6e5e81fbb0d21a3d5fc3350f11d69a568da9b1c386aa2e1e19880b21612bbc8b587fc09597cc25cb0f9573be9ae848c437f1e0aa1856dc75f74541ea38529b56b3c4180736b3c3bee596a23bd30097df43b264a869" TargetMode="External"/><Relationship Id="rId31" Type="http://schemas.openxmlformats.org/officeDocument/2006/relationships/hyperlink" Target="https://sei.go.gov.br/sei/controlador.php?acao=protocolo_visualizar&amp;id_protocolo=88087523&amp;id_procedimento_atual=94208206&amp;infra_sistema=100000100&amp;infra_unidade_atual=20038&amp;infra_hash=d3d6d8888a83719c6a76a3e6f0cecbb4702506fef77360ea64b64e7bfeca64ceaa2e1e19880b21612bbc8b587fc09597cc25cb0f9573be9ae848c437f1e0aa1856dc75f74541ea38529b56b3c4180736b3c3bee596a23bd30097df43b264a869" TargetMode="External"/><Relationship Id="rId44" Type="http://schemas.openxmlformats.org/officeDocument/2006/relationships/hyperlink" Target="http://cfc.org.br/wp-content/uploads/2016/02/NBC_TG_GERAL_SIMPLIFICADASPME_03112016.pdf" TargetMode="External"/><Relationship Id="rId4" Type="http://schemas.openxmlformats.org/officeDocument/2006/relationships/hyperlink" Target="https://sei.go.gov.br/sei/controlador.php?acao=protocolo_visualizar&amp;id_protocolo=94755695&amp;id_procedimento_atual=94208206&amp;infra_sistema=100000100&amp;infra_unidade_atual=20038&amp;infra_hash=b6b15c53f8ceb00be046541b80d211600ec862f4541cd76026e7b65b7c2dbb38aa2e1e19880b21612bbc8b587fc09597cc25cb0f9573be9ae848c437f1e0aa1856dc75f74541ea38529b56b3c4180736b3c3bee596a23bd30097df43b264a869" TargetMode="External"/><Relationship Id="rId9" Type="http://schemas.openxmlformats.org/officeDocument/2006/relationships/hyperlink" Target="https://sei.go.gov.br/sei/controlador.php?acao=protocolo_visualizar&amp;id_protocolo=86806128&amp;id_procedimento_atual=94208206&amp;infra_sistema=100000100&amp;infra_unidade_atual=20038&amp;infra_hash=6d271f16d1b619a966e2bad7c7c75cc2cda81b541217c40092d21ec3750e0822aa2e1e19880b21612bbc8b587fc09597cc25cb0f9573be9ae848c437f1e0aa1856dc75f74541ea38529b56b3c4180736b3c3bee596a23bd30097df43b264a869" TargetMode="External"/><Relationship Id="rId14" Type="http://schemas.openxmlformats.org/officeDocument/2006/relationships/hyperlink" Target="https://sei.go.gov.br/sei/controlador.php?acao=protocolo_visualizar&amp;id_protocolo=87085578&amp;id_procedimento_atual=94208206&amp;infra_sistema=100000100&amp;infra_unidade_atual=20038&amp;infra_hash=bdd0d734f3780db362d14f6d284633d6db8f379b8c604c242c4942dd44d4ee44aa2e1e19880b21612bbc8b587fc09597cc25cb0f9573be9ae848c437f1e0aa1856dc75f74541ea38529b56b3c4180736b3c3bee596a23bd30097df43b264a869" TargetMode="External"/><Relationship Id="rId22" Type="http://schemas.openxmlformats.org/officeDocument/2006/relationships/hyperlink" Target="https://sei.go.gov.br/sei/controlador.php?acao=protocolo_visualizar&amp;id_protocolo=50817924&amp;id_procedimento_atual=94208206&amp;infra_sistema=100000100&amp;infra_unidade_atual=20038&amp;infra_hash=5ae363219072ae12fdb0e0f0376848cd5b18964dcf76cc354e4a8b66fd41ff54aa2e1e19880b21612bbc8b587fc09597cc25cb0f9573be9ae848c437f1e0aa1856dc75f74541ea38529b56b3c4180736b3c3bee596a23bd30097df43b264a869" TargetMode="External"/><Relationship Id="rId27" Type="http://schemas.openxmlformats.org/officeDocument/2006/relationships/hyperlink" Target="https://sei.go.gov.br/sei/controlador.php?acao=protocolo_visualizar&amp;id_protocolo=89705747&amp;id_procedimento_atual=94208206&amp;infra_sistema=100000100&amp;infra_unidade_atual=20038&amp;infra_hash=3462826ce36883a7c567dd84b18c5d0f84669be3a9283f68ae64feea5b8e723caa2e1e19880b21612bbc8b587fc09597cc25cb0f9573be9ae848c437f1e0aa1856dc75f74541ea38529b56b3c4180736b3c3bee596a23bd30097df43b264a869" TargetMode="External"/><Relationship Id="rId30" Type="http://schemas.openxmlformats.org/officeDocument/2006/relationships/hyperlink" Target="https://sei.go.gov.br/sei/controlador.php?acao=protocolo_visualizar&amp;id_protocolo=71182511&amp;id_procedimento_atual=94208206&amp;infra_sistema=100000100&amp;infra_unidade_atual=20038&amp;infra_hash=fa0ee0868be9a2e606a383bfcd8a47af7f087e1940a32625a5be282fd5afd1e1aa2e1e19880b21612bbc8b587fc09597cc25cb0f9573be9ae848c437f1e0aa1856dc75f74541ea38529b56b3c4180736b3c3bee596a23bd30097df43b264a869" TargetMode="External"/><Relationship Id="rId35" Type="http://schemas.openxmlformats.org/officeDocument/2006/relationships/hyperlink" Target="https://sei.go.gov.br/sei/controlador.php?acao=protocolo_visualizar&amp;id_protocolo=88079314&amp;id_procedimento_atual=94208206&amp;infra_sistema=100000100&amp;infra_unidade_atual=20038&amp;infra_hash=65146a0a004af7b1bf95202b3fb79a31402d980bfc81f1d1fba95231d190b8afaa2e1e19880b21612bbc8b587fc09597cc25cb0f9573be9ae848c437f1e0aa1856dc75f74541ea38529b56b3c4180736b3c3bee596a23bd30097df43b264a869" TargetMode="External"/><Relationship Id="rId43" Type="http://schemas.openxmlformats.org/officeDocument/2006/relationships/hyperlink" Target="https://sei.go.gov.br/sei/controlador.php?acao=protocolo_visualizar&amp;id_protocolo=67458802&amp;id_procedimento_atual=94208206&amp;infra_sistema=100000100&amp;infra_unidade_atual=20038&amp;infra_hash=555b9920cf4e93114c64cec61f4aabb4bf4f80c2219f1bd38d522b3ed61aa72faa2e1e19880b21612bbc8b587fc09597cc25cb0f9573be9ae848c437f1e0aa1856dc75f74541ea38529b56b3c4180736b3c3bee596a23bd30097df43b264a869" TargetMode="External"/><Relationship Id="rId48" Type="http://schemas.openxmlformats.org/officeDocument/2006/relationships/hyperlink" Target="https://sei.go.gov.br/sei/controlador.php?acao=protocolo_visualizar&amp;id_protocolo=97464824&amp;id_procedimento_atual=94208206&amp;infra_sistema=100000100&amp;infra_unidade_atual=20038&amp;infra_hash=609dbe91e5d10a2160add2e73c237e7f6e7b9e3df10f1715020f3bda8c54da0daa2e1e19880b21612bbc8b587fc09597cc25cb0f9573be9ae848c437f1e0aa1856dc75f74541ea38529b56b3c4180736b3c3bee596a23bd30097df43b264a869" TargetMode="External"/><Relationship Id="rId8" Type="http://schemas.openxmlformats.org/officeDocument/2006/relationships/hyperlink" Target="https://sei.go.gov.br/sei/controlador.php?acao=protocolo_visualizar&amp;id_protocolo=82550286&amp;id_procedimento_atual=94208206&amp;infra_sistema=100000100&amp;infra_unidade_atual=20038&amp;infra_hash=644f9112479467d6f64ec05ce0f314a0bb72a4e5bc2c31e2cad7d8569bd749dbaa2e1e19880b21612bbc8b587fc09597cc25cb0f9573be9ae848c437f1e0aa1856dc75f74541ea38529b56b3c4180736b3c3bee596a23bd30097df43b264a869"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sei.go.gov.br/sei/controlador.php?acao=protocolo_visualizar&amp;id_protocolo=87264092&amp;id_procedimento_atual=94208206&amp;infra_sistema=100000100&amp;infra_unidade_atual=20038&amp;infra_hash=3a488fc56b55d62e3e2fe3efdb2580528c54fc196a1dbd283e7531ed70250e09aa2e1e19880b21612bbc8b587fc09597cc25cb0f9573be9ae848c437f1e0aa1856dc75f74541ea38529b56b3c4180736b3c3bee596a23bd30097df43b264a869" TargetMode="External"/><Relationship Id="rId17" Type="http://schemas.openxmlformats.org/officeDocument/2006/relationships/hyperlink" Target="https://sei.go.gov.br/sei/controlador.php?acao=protocolo_visualizar&amp;id_protocolo=87987563&amp;id_procedimento_atual=94208206&amp;infra_sistema=100000100&amp;infra_unidade_atual=20038&amp;infra_hash=94bb92a80ca91f19d1fe276fdc4e994198e619d1353c56cc53b273ece8e891edaa2e1e19880b21612bbc8b587fc09597cc25cb0f9573be9ae848c437f1e0aa1856dc75f74541ea38529b56b3c4180736b3c3bee596a23bd30097df43b264a869" TargetMode="External"/><Relationship Id="rId25" Type="http://schemas.openxmlformats.org/officeDocument/2006/relationships/hyperlink" Target="https://sei.go.gov.br/sei/controlador.php?acao=protocolo_visualizar&amp;id_protocolo=59062936&amp;id_procedimento_atual=94208206&amp;infra_sistema=100000100&amp;infra_unidade_atual=20038&amp;infra_hash=038b0cda9b6b2f487ff214f992be4b0e2da453b79599570cffd0a166a387b62faa2e1e19880b21612bbc8b587fc09597cc25cb0f9573be9ae848c437f1e0aa1856dc75f74541ea38529b56b3c4180736b3c3bee596a23bd30097df43b264a869" TargetMode="External"/><Relationship Id="rId33" Type="http://schemas.openxmlformats.org/officeDocument/2006/relationships/hyperlink" Target="https://sei.go.gov.br/sei/controlador.php?acao=protocolo_visualizar&amp;id_protocolo=87918129&amp;id_procedimento_atual=94208206&amp;infra_sistema=100000100&amp;infra_unidade_atual=20038&amp;infra_hash=b190f82fe9d3d272b18b771d00a27bfe04a38b2a3f7ea026b881fd682338712eaa2e1e19880b21612bbc8b587fc09597cc25cb0f9573be9ae848c437f1e0aa1856dc75f74541ea38529b56b3c4180736b3c3bee596a23bd30097df43b264a869" TargetMode="External"/><Relationship Id="rId38" Type="http://schemas.openxmlformats.org/officeDocument/2006/relationships/hyperlink" Target="https://sei.go.gov.br/sei/controlador.php?acao=protocolo_visualizar&amp;id_protocolo=73174487&amp;id_procedimento_atual=94208206&amp;infra_sistema=100000100&amp;infra_unidade_atual=20038&amp;infra_hash=6b4f8ecd96af499010f366080aea6d44a91f68b344fd9551815c0fd19da5a0c4aa2e1e19880b21612bbc8b587fc09597cc25cb0f9573be9ae848c437f1e0aa1856dc75f74541ea38529b56b3c4180736b3c3bee596a23bd30097df43b264a869" TargetMode="External"/><Relationship Id="rId46" Type="http://schemas.openxmlformats.org/officeDocument/2006/relationships/hyperlink" Target="https://sei.go.gov.br/sei/controlador.php?acao=protocolo_visualizar&amp;id_protocolo=94673279&amp;id_procedimento_atual=94208206&amp;infra_sistema=100000100&amp;infra_unidade_atual=20038&amp;infra_hash=11651fdbaa7b93a430c4516cee1d9261f8cdef5d386512cea028ab78874796d8aa2e1e19880b21612bbc8b587fc09597cc25cb0f9573be9ae848c437f1e0aa1856dc75f74541ea38529b56b3c4180736b3c3bee596a23bd30097df43b264a869" TargetMode="External"/><Relationship Id="rId20" Type="http://schemas.openxmlformats.org/officeDocument/2006/relationships/hyperlink" Target="https://sei.go.gov.br/sei/controlador.php?acao=protocolo_visualizar&amp;id_protocolo=89693056&amp;id_procedimento_atual=94208206&amp;infra_sistema=100000100&amp;infra_unidade_atual=20038&amp;infra_hash=dde726682d5ab05a67f1f21993cef66accf408e3859fe9c803d8a4d1c5b159f8aa2e1e19880b21612bbc8b587fc09597cc25cb0f9573be9ae848c437f1e0aa1856dc75f74541ea38529b56b3c4180736b3c3bee596a23bd30097df43b264a869" TargetMode="External"/><Relationship Id="rId41" Type="http://schemas.openxmlformats.org/officeDocument/2006/relationships/hyperlink" Target="https://sei.go.gov.br/sei/controlador.php?acao=protocolo_visualizar&amp;id_protocolo=79575969&amp;id_procedimento_atual=94208206&amp;infra_sistema=100000100&amp;infra_unidade_atual=20038&amp;infra_hash=3fb40db514b292c43b0fd3542d4756fa8ceba22327663a7c686068fb0f2e9442aa2e1e19880b21612bbc8b587fc09597cc25cb0f9573be9ae848c437f1e0aa1856dc75f74541ea38529b56b3c4180736b3c3bee596a23bd30097df43b264a869" TargetMode="External"/><Relationship Id="rId1" Type="http://schemas.openxmlformats.org/officeDocument/2006/relationships/styles" Target="styles.xml"/><Relationship Id="rId6" Type="http://schemas.openxmlformats.org/officeDocument/2006/relationships/hyperlink" Target="https://sei.go.gov.br/sei/controlador.php?acao=protocolo_visualizar&amp;id_protocolo=79575969&amp;id_procedimento_atual=94208206&amp;infra_sistema=100000100&amp;infra_unidade_atual=20038&amp;infra_hash=3fb40db514b292c43b0fd3542d4756fa8ceba22327663a7c686068fb0f2e9442aa2e1e19880b21612bbc8b587fc09597cc25cb0f9573be9ae848c437f1e0aa1856dc75f74541ea38529b56b3c4180736b3c3bee596a23bd30097df43b264a869"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24617</Words>
  <Characters>132936</Characters>
  <Application>Microsoft Office Word</Application>
  <DocSecurity>0</DocSecurity>
  <Lines>1107</Lines>
  <Paragraphs>314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KAMILLA GUIMARAES RODRIGUES</dc:creator>
  <cp:keywords/>
  <dc:description/>
  <cp:lastModifiedBy>KAMILLA GUIMARAES RODRIGUES</cp:lastModifiedBy>
  <cp:revision>1</cp:revision>
  <dcterms:created xsi:type="dcterms:W3CDTF">2026-07-01T20:35:00Z</dcterms:created>
  <dcterms:modified xsi:type="dcterms:W3CDTF">2026-07-01T20:36:00Z</dcterms:modified>
</cp:coreProperties>
</file>